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T</w:t>
      </w:r>
      <w:bookmarkEnd w:id="0"/>
      <w:bookmarkStart w:name="_Hlk130807255" w:id="1"/>
      <w:r>
        <w:rPr>
          <w:i w:val="1"/>
          <w:iCs w:val="1"/>
          <w:outline w:val="0"/>
          <w:color w:val="002060"/>
          <w:u w:color="002060"/>
          <w:rtl w:val="0"/>
          <w:lang w:val="en-US"/>
          <w14:textFill>
            <w14:solidFill>
              <w14:srgbClr w14:val="002060"/>
            </w14:solidFill>
          </w14:textFill>
        </w:rPr>
        <w:t>he Sermermiut settlement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High school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"https://isfjordscentret.gl/en/the-sermermiut-settlement-high-school/"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"https://issuu.com/isfjordscentret/docs/sermermiut_final?fr=xKAE9_zU1NQ"</w:instrText>
      </w:r>
      <w:r>
        <w:rPr>
          <w:rStyle w:val="Hyperlink.0"/>
        </w:rPr>
        <w:fldChar w:fldCharType="separate" w:fldLock="0"/>
      </w:r>
      <w:r>
        <w:rPr>
          <w:rStyle w:val="Hyperlink.0"/>
          <w:rtl w:val="0"/>
          <w:lang w:val="en-US"/>
        </w:rPr>
        <w:t>The Sermermiut settlement.</w:t>
      </w:r>
      <w:r>
        <w:rPr/>
        <w:fldChar w:fldCharType="end" w:fldLock="0"/>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History and 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the development of hunting tools and articles for everyday use through thousands of years.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Sermermiut settlement and the immigrations of the Saqqaq people, the Dorset people and the Thule people.</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and the table model that represent </w:t>
      </w:r>
      <w:r>
        <w:rPr>
          <w:i w:val="1"/>
          <w:iCs w:val="1"/>
          <w:rtl w:val="0"/>
          <w:lang w:val="en-US"/>
        </w:rPr>
        <w:t>The Sermermiut settlement</w:t>
      </w:r>
      <w:r>
        <w:rPr>
          <w:i w:val="1"/>
          <w:iCs w:val="1"/>
          <w:outline w:val="0"/>
          <w:color w:val="002060"/>
          <w:u w:color="002060"/>
          <w:rtl w:val="0"/>
          <w14:textFill>
            <w14:solidFill>
              <w14:srgbClr w14:val="002060"/>
            </w14:solidFill>
          </w14:textFill>
        </w:rPr>
        <w:t>.</w:t>
      </w:r>
    </w:p>
    <w:p>
      <w:pPr>
        <w:pStyle w:val="Brødtekst"/>
        <w:spacing w:before="120"/>
      </w:pPr>
      <w:r>
        <w:rPr>
          <w:rtl w:val="0"/>
          <w:lang w:val="en-US"/>
        </w:rPr>
        <w:t xml:space="preserve">Give an instruction for the sheets to make clear what the tasks are. </w:t>
      </w:r>
    </w:p>
    <w:p>
      <w:pPr>
        <w:pStyle w:val="List Paragraph"/>
        <w:numPr>
          <w:ilvl w:val="0"/>
          <w:numId w:val="6"/>
        </w:numPr>
        <w:rPr>
          <w:lang w:val="en-US"/>
        </w:rPr>
      </w:pPr>
      <w:r>
        <w:rPr>
          <w:rtl w:val="0"/>
          <w:lang w:val="en-US"/>
        </w:rPr>
        <w:t>On the face of the info sheet is a short text. On the answer sheet are three questions to each of the three ice floes and the table model. At each picture is a circle containing a letter. These letters plus O and S must be combined to form a word. (Dorset)</w:t>
      </w:r>
    </w:p>
    <w:p>
      <w:pPr>
        <w:pStyle w:val="List Paragraph"/>
        <w:numPr>
          <w:ilvl w:val="0"/>
          <w:numId w:val="6"/>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"https://isfjordscentret.gl/en/the-sermermiut-settlement-high-school/"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outline w:val="0"/>
          <w:color w:val="2f5496"/>
          <w:sz w:val="24"/>
          <w:szCs w:val="24"/>
          <w:u w:color="2f5496"/>
          <w14:textFill>
            <w14:solidFill>
              <w14:srgbClr w14:val="2F5496"/>
            </w14:solidFill>
          </w14:textFill>
        </w:rPr>
      </w:pPr>
      <w:r>
        <w:rPr>
          <w:outline w:val="0"/>
          <w:color w:val="2f5496"/>
          <w:sz w:val="24"/>
          <w:szCs w:val="24"/>
          <w:u w:color="2f5496"/>
          <w:rtl w:val="0"/>
          <w:lang w:val="en-US"/>
          <w14:textFill>
            <w14:solidFill>
              <w14:srgbClr w14:val="2F5496"/>
            </w14:solidFill>
          </w14:textFill>
        </w:rPr>
        <w:t xml:space="preserve">THE PICTURE ON THE FACE OF THE INFO SHEET </w:t>
        <w:tab/>
      </w:r>
      <w:r>
        <w:rPr>
          <w:sz w:val="24"/>
          <w:szCs w:val="24"/>
          <w:rtl w:val="0"/>
          <w:lang w:val="en-US"/>
        </w:rPr>
        <w:t>pp. 4-5</w:t>
      </w:r>
    </w:p>
    <w:p>
      <w:pPr>
        <w:pStyle w:val="Bradford"/>
      </w:pPr>
      <w:r>
        <w:rPr>
          <w:rFonts w:cs="Arial Unicode MS" w:eastAsia="Arial Unicode MS"/>
          <w:rtl w:val="0"/>
          <w:lang w:val="en-US"/>
        </w:rPr>
        <w:t>Let the students study the picture and discuss the suitability of the place for a settlement.</w:t>
      </w:r>
    </w:p>
    <w:p>
      <w:pPr>
        <w:pStyle w:val="Bradford"/>
      </w:pPr>
      <w:r>
        <w:rPr>
          <w:rFonts w:cs="Arial Unicode MS" w:eastAsia="Arial Unicode MS"/>
          <w:rtl w:val="0"/>
          <w:lang w:val="en-US"/>
        </w:rPr>
        <w:t xml:space="preserve">Caption for the picture: </w:t>
      </w:r>
      <w:r>
        <w:rPr>
          <w:rFonts w:cs="Arial Unicode MS" w:eastAsia="Arial Unicode MS"/>
          <w:i w:val="1"/>
          <w:iCs w:val="1"/>
          <w:rtl w:val="0"/>
          <w:lang w:val="en-US"/>
        </w:rPr>
        <w:t>The former settlement of Sermermiut lies on the cliff at the head of the bay.</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HUNTING TOOLS</w:t>
      </w:r>
      <w:r>
        <w:rPr>
          <w:rtl w:val="0"/>
        </w:rPr>
        <w:tab/>
        <w:t xml:space="preserve"> </w:t>
        <w:tab/>
        <w:t>pp. 6-13</w:t>
      </w:r>
    </w:p>
    <w:p>
      <w:pPr>
        <w:pStyle w:val="Bradford"/>
        <w:keepNext w:val="1"/>
        <w:tabs>
          <w:tab w:val="left" w:pos="5670"/>
          <w:tab w:val="right" w:pos="9356"/>
        </w:tabs>
        <w:rPr>
          <w:sz w:val="24"/>
          <w:szCs w:val="24"/>
        </w:rPr>
      </w:pPr>
      <w:r>
        <w:rPr>
          <w:sz w:val="24"/>
          <w:szCs w:val="24"/>
          <w:rtl w:val="0"/>
          <w:lang w:val="en-US"/>
        </w:rPr>
        <w:t>The students are to examine the archeological findings in the ice floe. They can read about them in the book.</w:t>
      </w:r>
    </w:p>
    <w:p>
      <w:pPr>
        <w:pStyle w:val="Bradford"/>
        <w:keepNext w:val="1"/>
        <w:tabs>
          <w:tab w:val="left" w:pos="5670"/>
          <w:tab w:val="right" w:pos="9356"/>
        </w:tabs>
        <w:rPr>
          <w:sz w:val="24"/>
          <w:szCs w:val="24"/>
        </w:rPr>
      </w:pPr>
    </w:p>
    <w:p>
      <w:pPr>
        <w:pStyle w:val="Bradford"/>
        <w:keepNext w:val="1"/>
        <w:tabs>
          <w:tab w:val="left" w:pos="5670"/>
          <w:tab w:val="right" w:pos="9356"/>
        </w:tabs>
        <w:rPr>
          <w:sz w:val="24"/>
          <w:szCs w:val="24"/>
        </w:rPr>
      </w:pPr>
      <w:r>
        <w:rPr>
          <w:sz w:val="24"/>
          <w:szCs w:val="24"/>
          <w:rtl w:val="0"/>
          <w:lang w:val="en-US"/>
        </w:rPr>
        <w:t>They are to tell what animals are caught in the Disko Bay. They may find inspiration in some of the other ice floes in the exhibition.</w:t>
      </w:r>
    </w:p>
    <w:p>
      <w:pPr>
        <w:pStyle w:val="Bradford"/>
        <w:keepNext w:val="1"/>
        <w:tabs>
          <w:tab w:val="left" w:pos="5670"/>
          <w:tab w:val="right" w:pos="9356"/>
        </w:tabs>
        <w:rPr>
          <w:sz w:val="24"/>
          <w:szCs w:val="24"/>
        </w:rPr>
      </w:pPr>
    </w:p>
    <w:p>
      <w:pPr>
        <w:pStyle w:val="Bradford"/>
        <w:keepNext w:val="1"/>
        <w:tabs>
          <w:tab w:val="left" w:pos="5670"/>
          <w:tab w:val="right" w:pos="9356"/>
        </w:tabs>
        <w:rPr>
          <w:sz w:val="24"/>
          <w:szCs w:val="24"/>
        </w:rPr>
      </w:pPr>
      <w:r>
        <w:rPr>
          <w:sz w:val="24"/>
          <w:szCs w:val="24"/>
          <w:rtl w:val="0"/>
          <w:lang w:val="en-US"/>
        </w:rPr>
        <w:t>Talk with the students about</w:t>
      </w:r>
    </w:p>
    <w:p>
      <w:pPr>
        <w:pStyle w:val="Bradford"/>
        <w:keepNext w:val="1"/>
        <w:numPr>
          <w:ilvl w:val="0"/>
          <w:numId w:val="8"/>
        </w:numPr>
        <w:bidi w:val="0"/>
        <w:ind w:right="0"/>
        <w:jc w:val="left"/>
        <w:rPr>
          <w:sz w:val="24"/>
          <w:szCs w:val="24"/>
          <w:rtl w:val="0"/>
          <w:lang w:val="en-US"/>
        </w:rPr>
      </w:pPr>
      <w:r>
        <w:rPr>
          <w:sz w:val="24"/>
          <w:szCs w:val="24"/>
          <w:rtl w:val="0"/>
          <w:lang w:val="en-US"/>
        </w:rPr>
        <w:t>the animals in the Disko Bay and why the Disko Bay always has been attractive to humans</w:t>
      </w:r>
    </w:p>
    <w:p>
      <w:pPr>
        <w:pStyle w:val="Bradford"/>
        <w:keepNext w:val="1"/>
        <w:numPr>
          <w:ilvl w:val="0"/>
          <w:numId w:val="8"/>
        </w:numPr>
        <w:bidi w:val="0"/>
        <w:ind w:right="0"/>
        <w:jc w:val="left"/>
        <w:rPr>
          <w:sz w:val="24"/>
          <w:szCs w:val="24"/>
          <w:rtl w:val="0"/>
          <w:lang w:val="en-US"/>
        </w:rPr>
      </w:pPr>
      <w:r>
        <w:rPr>
          <w:sz w:val="24"/>
          <w:szCs w:val="24"/>
          <w:rtl w:val="0"/>
          <w:lang w:val="en-US"/>
        </w:rPr>
        <w:t>early and late Inuit culture, differences and similarities</w:t>
      </w:r>
    </w:p>
    <w:p>
      <w:pPr>
        <w:pStyle w:val="Bradford"/>
        <w:keepNext w:val="1"/>
        <w:numPr>
          <w:ilvl w:val="0"/>
          <w:numId w:val="8"/>
        </w:numPr>
        <w:bidi w:val="0"/>
        <w:ind w:right="0"/>
        <w:jc w:val="left"/>
        <w:rPr>
          <w:sz w:val="24"/>
          <w:szCs w:val="24"/>
          <w:rtl w:val="0"/>
          <w:lang w:val="en-US"/>
        </w:rPr>
      </w:pPr>
      <w:r>
        <w:rPr>
          <w:sz w:val="24"/>
          <w:szCs w:val="24"/>
          <w:rtl w:val="0"/>
          <w:lang w:val="en-US"/>
        </w:rPr>
        <w:t>what materials can be used for making hunting tools</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ULU</w:t>
      </w:r>
      <w:r>
        <w:rPr>
          <w:rtl w:val="0"/>
        </w:rPr>
        <w:tab/>
        <w:tab/>
        <w:t>pp. 14-19</w:t>
      </w:r>
    </w:p>
    <w:p>
      <w:pPr>
        <w:pStyle w:val="Bradford"/>
      </w:pPr>
      <w:r>
        <w:rPr>
          <w:rFonts w:cs="Arial Unicode MS" w:eastAsia="Arial Unicode MS"/>
          <w:rtl w:val="0"/>
          <w:lang w:val="en-US"/>
        </w:rPr>
        <w:t>The students are to examine scrapers and ulus and how they developed over time.</w:t>
      </w:r>
    </w:p>
    <w:p>
      <w:pPr>
        <w:pStyle w:val="Bradford"/>
      </w:pPr>
    </w:p>
    <w:p>
      <w:pPr>
        <w:pStyle w:val="Bradford"/>
      </w:pPr>
      <w:r>
        <w:rPr>
          <w:rFonts w:cs="Arial Unicode MS" w:eastAsia="Arial Unicode MS"/>
          <w:rtl w:val="0"/>
          <w:lang w:val="en-US"/>
        </w:rPr>
        <w:t>Talk with the students about:</w:t>
      </w:r>
    </w:p>
    <w:p>
      <w:pPr>
        <w:pStyle w:val="Bradford"/>
        <w:numPr>
          <w:ilvl w:val="0"/>
          <w:numId w:val="10"/>
        </w:numPr>
        <w:rPr>
          <w:lang w:val="en-US"/>
        </w:rPr>
      </w:pPr>
      <w:r>
        <w:rPr>
          <w:rtl w:val="0"/>
          <w:lang w:val="en-US"/>
        </w:rPr>
        <w:t>how the ulu was developed from the scraper and what materials they are made of</w:t>
      </w:r>
    </w:p>
    <w:p>
      <w:pPr>
        <w:pStyle w:val="Bradford"/>
        <w:numPr>
          <w:ilvl w:val="0"/>
          <w:numId w:val="10"/>
        </w:numPr>
        <w:rPr>
          <w:lang w:val="en-US"/>
        </w:rPr>
      </w:pPr>
      <w:r>
        <w:rPr>
          <w:rtl w:val="0"/>
          <w:lang w:val="en-US"/>
        </w:rPr>
        <w:t>different stones and rocks and what they have been used for</w:t>
      </w:r>
    </w:p>
    <w:p>
      <w:pPr>
        <w:pStyle w:val="Bradford"/>
        <w:numPr>
          <w:ilvl w:val="0"/>
          <w:numId w:val="10"/>
        </w:numPr>
        <w:rPr>
          <w:lang w:val="en-US"/>
        </w:rPr>
      </w:pPr>
      <w:r>
        <w:rPr>
          <w:rtl w:val="0"/>
          <w:lang w:val="en-US"/>
        </w:rPr>
        <w:t xml:space="preserve">how the ulu was regarded as a female symbol </w:t>
      </w:r>
      <w:r>
        <w:rPr>
          <w:rtl w:val="0"/>
          <w:lang w:val="en-US"/>
        </w:rPr>
        <w:t xml:space="preserve">– </w:t>
      </w:r>
      <w:r>
        <w:rPr>
          <w:rtl w:val="0"/>
          <w:lang w:val="en-US"/>
        </w:rPr>
        <w:t>misleadingly as men also used the knife</w:t>
      </w:r>
    </w:p>
    <w:p>
      <w:pPr>
        <w:pStyle w:val="Bradford"/>
        <w:numPr>
          <w:ilvl w:val="0"/>
          <w:numId w:val="10"/>
        </w:numPr>
        <w:rPr>
          <w:lang w:val="en-US"/>
        </w:rPr>
      </w:pPr>
      <w:r>
        <w:rPr>
          <w:rtl w:val="0"/>
          <w:lang w:val="en-US"/>
        </w:rPr>
        <w:t>the meaning of symbols and what other female or male symbols the students know</w:t>
      </w:r>
    </w:p>
    <w:p>
      <w:pPr>
        <w:pStyle w:val="Bradford"/>
        <w:numPr>
          <w:ilvl w:val="0"/>
          <w:numId w:val="10"/>
        </w:numPr>
        <w:rPr>
          <w:lang w:val="en-US"/>
        </w:rPr>
      </w:pPr>
      <w:r>
        <w:rPr>
          <w:rtl w:val="0"/>
          <w:lang w:val="en-US"/>
        </w:rPr>
        <w:t>the purpose of such symbols</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SOAPSTONE LAMP</w:t>
      </w:r>
      <w:r>
        <w:rPr>
          <w:rtl w:val="0"/>
        </w:rPr>
        <w:tab/>
        <w:tab/>
        <w:t>pp. 20-23</w:t>
      </w:r>
    </w:p>
    <w:p>
      <w:pPr>
        <w:pStyle w:val="Bradford"/>
      </w:pPr>
      <w:r>
        <w:rPr>
          <w:rFonts w:cs="Arial Unicode MS" w:eastAsia="Arial Unicode MS"/>
          <w:rtl w:val="0"/>
          <w:lang w:val="en-US"/>
        </w:rPr>
        <w:t>The students are to examine the soapstone lamp and find out what it was used for and how.</w:t>
      </w:r>
    </w:p>
    <w:p>
      <w:pPr>
        <w:pStyle w:val="Bradford"/>
      </w:pPr>
    </w:p>
    <w:p>
      <w:pPr>
        <w:pStyle w:val="Bradford"/>
      </w:pPr>
      <w:r>
        <w:rPr>
          <w:rFonts w:cs="Arial Unicode MS" w:eastAsia="Arial Unicode MS"/>
          <w:rtl w:val="0"/>
          <w:lang w:val="en-US"/>
        </w:rPr>
        <w:t>Talk with the students about:</w:t>
      </w:r>
    </w:p>
    <w:p>
      <w:pPr>
        <w:pStyle w:val="Bradford"/>
        <w:numPr>
          <w:ilvl w:val="0"/>
          <w:numId w:val="12"/>
        </w:numPr>
        <w:rPr>
          <w:lang w:val="en-US"/>
        </w:rPr>
      </w:pPr>
      <w:r>
        <w:rPr>
          <w:rtl w:val="0"/>
          <w:lang w:val="en-US"/>
        </w:rPr>
        <w:t>how everything from the animal was used: for clothing, food and lighting</w:t>
      </w:r>
    </w:p>
    <w:p>
      <w:pPr>
        <w:pStyle w:val="Bradford"/>
        <w:numPr>
          <w:ilvl w:val="0"/>
          <w:numId w:val="12"/>
        </w:numPr>
        <w:rPr>
          <w:lang w:val="en-US"/>
        </w:rPr>
      </w:pPr>
      <w:r>
        <w:rPr>
          <w:rtl w:val="0"/>
          <w:lang w:val="en-US"/>
        </w:rPr>
        <w:t>how electricity replaced the soapstone lamp and when</w:t>
      </w:r>
    </w:p>
    <w:p>
      <w:pPr>
        <w:pStyle w:val="Bradford"/>
        <w:numPr>
          <w:ilvl w:val="0"/>
          <w:numId w:val="12"/>
        </w:numPr>
        <w:rPr>
          <w:lang w:val="en-US"/>
        </w:rPr>
      </w:pPr>
      <w:r>
        <w:rPr>
          <w:rtl w:val="0"/>
          <w:lang w:val="en-US"/>
        </w:rPr>
        <w:t>thermic energy and other forms of energy</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TABLE MODEL</w:t>
      </w:r>
      <w:r>
        <w:tab/>
        <w:tab/>
      </w:r>
    </w:p>
    <w:p>
      <w:pPr>
        <w:pStyle w:val="Bradford"/>
      </w:pPr>
      <w:r>
        <w:rPr>
          <w:rFonts w:cs="Arial Unicode MS" w:eastAsia="Arial Unicode MS"/>
          <w:rtl w:val="0"/>
          <w:lang w:val="en-US"/>
        </w:rPr>
        <w:t>The table model shows the settlement Sermermiut during four periods:</w:t>
      </w:r>
    </w:p>
    <w:p>
      <w:pPr>
        <w:pStyle w:val="Bradford"/>
        <w:numPr>
          <w:ilvl w:val="0"/>
          <w:numId w:val="14"/>
        </w:numPr>
        <w:rPr>
          <w:lang w:val="en-US"/>
        </w:rPr>
      </w:pPr>
      <w:r>
        <w:rPr>
          <w:rtl w:val="0"/>
          <w:lang w:val="en-US"/>
        </w:rPr>
        <w:t>2500 BC-0</w:t>
      </w:r>
    </w:p>
    <w:p>
      <w:pPr>
        <w:pStyle w:val="Bradford"/>
        <w:numPr>
          <w:ilvl w:val="0"/>
          <w:numId w:val="14"/>
        </w:numPr>
        <w:rPr>
          <w:lang w:val="en-US"/>
        </w:rPr>
      </w:pPr>
      <w:r>
        <w:rPr>
          <w:rtl w:val="0"/>
          <w:lang w:val="en-US"/>
        </w:rPr>
        <w:t>0-1200</w:t>
      </w:r>
    </w:p>
    <w:p>
      <w:pPr>
        <w:pStyle w:val="Bradford"/>
        <w:numPr>
          <w:ilvl w:val="0"/>
          <w:numId w:val="14"/>
        </w:numPr>
        <w:rPr>
          <w:lang w:val="en-US"/>
        </w:rPr>
      </w:pPr>
      <w:r>
        <w:rPr>
          <w:rtl w:val="0"/>
          <w:lang w:val="en-US"/>
        </w:rPr>
        <w:t>1200-1600</w:t>
      </w:r>
    </w:p>
    <w:p>
      <w:pPr>
        <w:pStyle w:val="Bradford"/>
        <w:numPr>
          <w:ilvl w:val="0"/>
          <w:numId w:val="14"/>
        </w:numPr>
        <w:rPr>
          <w:lang w:val="en-US"/>
        </w:rPr>
      </w:pPr>
      <w:r>
        <w:rPr>
          <w:rtl w:val="0"/>
          <w:lang w:val="en-US"/>
        </w:rPr>
        <w:t>1741 to the present</w:t>
      </w:r>
    </w:p>
    <w:p>
      <w:pPr>
        <w:pStyle w:val="Bradford"/>
      </w:pPr>
    </w:p>
    <w:p>
      <w:pPr>
        <w:pStyle w:val="Bradford"/>
      </w:pPr>
      <w:r>
        <w:rPr>
          <w:rFonts w:cs="Arial Unicode MS" w:eastAsia="Arial Unicode MS"/>
          <w:rtl w:val="0"/>
          <w:lang w:val="en-US"/>
        </w:rPr>
        <w:t>Let the students read the introductory text to each of the four periods, before watching the animation. You find the text at the bottom of the model.</w:t>
      </w:r>
    </w:p>
    <w:p>
      <w:pPr>
        <w:pStyle w:val="Bradford"/>
      </w:pPr>
    </w:p>
    <w:p>
      <w:pPr>
        <w:pStyle w:val="Bradford"/>
      </w:pPr>
      <w:r>
        <w:rPr>
          <w:rFonts w:cs="Arial Unicode MS" w:eastAsia="Arial Unicode MS"/>
          <w:rtl w:val="0"/>
          <w:lang w:val="en-US"/>
        </w:rPr>
        <w:t>Talk with the students about:</w:t>
      </w:r>
    </w:p>
    <w:p>
      <w:pPr>
        <w:pStyle w:val="Bradford"/>
        <w:numPr>
          <w:ilvl w:val="0"/>
          <w:numId w:val="16"/>
        </w:numPr>
        <w:rPr>
          <w:lang w:val="en-US"/>
        </w:rPr>
      </w:pPr>
      <w:r>
        <w:rPr>
          <w:rtl w:val="0"/>
          <w:lang w:val="en-US"/>
        </w:rPr>
        <w:t>what peoples and cultures have settled in the area</w:t>
      </w:r>
    </w:p>
    <w:p>
      <w:pPr>
        <w:pStyle w:val="Bradford"/>
        <w:numPr>
          <w:ilvl w:val="0"/>
          <w:numId w:val="16"/>
        </w:numPr>
        <w:rPr>
          <w:lang w:val="en-US"/>
        </w:rPr>
      </w:pPr>
      <w:r>
        <w:rPr>
          <w:rtl w:val="0"/>
          <w:lang w:val="en-US"/>
        </w:rPr>
        <w:t>what hunting tools are used in the animations</w:t>
      </w:r>
    </w:p>
    <w:p>
      <w:pPr>
        <w:pStyle w:val="Bradford"/>
        <w:numPr>
          <w:ilvl w:val="0"/>
          <w:numId w:val="16"/>
        </w:numPr>
        <w:rPr>
          <w:lang w:val="en-US"/>
        </w:rPr>
      </w:pPr>
      <w:r>
        <w:rPr>
          <w:rtl w:val="0"/>
          <w:lang w:val="en-US"/>
        </w:rPr>
        <w:t>several cultures have settled in the area but few traces are left of them having lived there. Would it be the same if all people left the town you live in?</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You could continue working with these topics:</w:t>
      </w:r>
    </w:p>
    <w:p>
      <w:pPr>
        <w:pStyle w:val="List Paragraph"/>
        <w:numPr>
          <w:ilvl w:val="0"/>
          <w:numId w:val="18"/>
        </w:numPr>
        <w:rPr>
          <w:lang w:val="en-US"/>
        </w:rPr>
      </w:pPr>
      <w:r>
        <w:rPr>
          <w:rtl w:val="0"/>
          <w:lang w:val="en-US"/>
        </w:rPr>
        <w:t>the immigrations</w:t>
      </w:r>
    </w:p>
    <w:p>
      <w:pPr>
        <w:pStyle w:val="List Paragraph"/>
        <w:numPr>
          <w:ilvl w:val="0"/>
          <w:numId w:val="18"/>
        </w:numPr>
        <w:rPr>
          <w:lang w:val="en-US"/>
        </w:rPr>
      </w:pPr>
      <w:r>
        <w:rPr>
          <w:rtl w:val="0"/>
          <w:lang w:val="en-US"/>
        </w:rPr>
        <w:t>symbolism, and how female and male has been represented through time and today.</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"https://isfjordscentret.gl/en/the-sermermiut-settlement-high-school/"</w:instrText>
      </w:r>
      <w:r>
        <w:rPr>
          <w:rStyle w:val="Hyperlink.0"/>
        </w:rPr>
        <w:fldChar w:fldCharType="separate" w:fldLock="0"/>
      </w:r>
      <w:r>
        <w:rPr>
          <w:rStyle w:val="Hyperlink.0"/>
          <w:rtl w:val="0"/>
          <w:lang w:val="en-US"/>
        </w:rPr>
        <w:t>The Sermermiut settlement.</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