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-177798</wp:posOffset>
                </wp:positionV>
                <wp:extent cx="1755776" cy="794513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776" cy="794513"/>
                          <a:chOff x="0" y="0"/>
                          <a:chExt cx="1755775" cy="79451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1755776" cy="79451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309201" y="122703"/>
                            <a:ext cx="1137373" cy="5491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8.3pt;height:62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55776,794512">
                <w10:wrap type="none" side="bothSides" anchorx="text"/>
                <v:oval id="_x0000_s1027" style="position:absolute;left:0;top:0;width:1755776;height:794512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9202;top:122704;width:1137371;height:54910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Gletsjere og indlandsise</w:t>
      </w:r>
      <w:r>
        <w:rPr>
          <w:rtl w:val="0"/>
        </w:rPr>
        <w:t>n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Gymnasium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"https://isfjordscentret.gl/da/gletsjere-og-indlandsisen-gymnasium/"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>.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udstillingen, hvor numrene angiver de enkelte temaer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Style w:val="Ingen"/>
          <w:rFonts w:ascii="Bradford LL" w:hAnsi="Bradford LL"/>
          <w:rtl w:val="0"/>
          <w:lang w:val="da-DK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"https://isfjordscentret.gl/wp-content/uploads/2023/06/Gletsjer_final.pdf"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“</w:t>
      </w:r>
      <w:r>
        <w:rPr>
          <w:rStyle w:val="Hyperlink.1"/>
          <w:rtl w:val="0"/>
          <w:lang w:val="da-DK"/>
        </w:rPr>
        <w:t>Gletsjere og indlandsisen</w:t>
      </w:r>
      <w:r>
        <w:rPr>
          <w:rStyle w:val="Hyperlink.1"/>
          <w:rtl w:val="0"/>
          <w:lang w:val="da-DK"/>
        </w:rPr>
        <w:t>”</w:t>
      </w:r>
      <w:r>
        <w:rPr/>
        <w:fldChar w:fldCharType="end" w:fldLock="0"/>
      </w:r>
      <w:r>
        <w:rPr>
          <w:rStyle w:val="Ingen"/>
          <w:rFonts w:ascii="Bradford LL" w:hAnsi="Bradford LL"/>
          <w:rtl w:val="0"/>
          <w:lang w:val="da-DK"/>
        </w:rPr>
        <w:t>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Naturfagene, fokus p</w:t>
      </w:r>
      <w:r>
        <w:rPr>
          <w:rStyle w:val="Ingen"/>
          <w:rtl w:val="0"/>
        </w:rPr>
        <w:t>å ø</w:t>
      </w:r>
      <w:r>
        <w:rPr>
          <w:rStyle w:val="Ingen"/>
          <w:rtl w:val="0"/>
          <w:lang w:val="da-DK"/>
        </w:rPr>
        <w:t>velse i fordybelse samt skriftlig og mundtlig kommunikation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</w:t>
      </w:r>
      <w:r>
        <w:rPr>
          <w:rStyle w:val="Ingen"/>
          <w:rtl w:val="0"/>
          <w:lang w:val="da-DK"/>
        </w:rPr>
        <w:t>istider og mellemistider og hvordan landskabet formes heraf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 </w:t>
      </w:r>
      <w:r>
        <w:rPr>
          <w:rStyle w:val="Ingen"/>
          <w:rtl w:val="0"/>
        </w:rPr>
        <w:t>klimaforandringens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virkning af gletsjere og indlandsisen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numPr>
          <w:ilvl w:val="0"/>
          <w:numId w:val="4"/>
        </w:numPr>
        <w:rPr>
          <w:lang w:val="da-DK"/>
        </w:rPr>
      </w:pPr>
      <w:r>
        <w:rPr>
          <w:rStyle w:val="Ingen"/>
          <w:rtl w:val="0"/>
          <w:lang w:val="da-DK"/>
        </w:rPr>
        <w:t>eleverne arbejder med afl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sning af naturfaglige modeller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Gletsjere og indlandsisen.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de ikke er i tvivl om hvad opgaven er.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infoarkets forside er der en kort tekst samt en </w:t>
      </w:r>
      <w:r>
        <w:rPr>
          <w:rStyle w:val="Ingen"/>
          <w:rtl w:val="0"/>
          <w:lang w:val="da-DK"/>
        </w:rPr>
        <w:t>forklaring til den opgave, hvor eleverne skal finde et kodeord. De skal bruge de 6 bogstaver.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fra hver i de bl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cirkler, samt to gratis bogstaver, P &amp; A, der bliver givet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forsiden.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de danner kodeordet. (Pang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a) 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bagsiden er der t</w:t>
      </w:r>
      <w:r>
        <w:rPr>
          <w:rStyle w:val="Ingen"/>
          <w:rtl w:val="0"/>
        </w:rPr>
        <w:t>re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</w:t>
      </w:r>
      <w:r>
        <w:rPr>
          <w:rStyle w:val="Ingen"/>
          <w:rtl w:val="0"/>
        </w:rPr>
        <w:t>3</w:t>
      </w: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isskosser</w:t>
      </w:r>
      <w:r>
        <w:rPr>
          <w:rStyle w:val="Ingen"/>
          <w:rtl w:val="0"/>
        </w:rPr>
        <w:t xml:space="preserve"> og bordmodellen, samt cirklerne med bogstaver i.</w:t>
      </w:r>
    </w:p>
    <w:p>
      <w:pPr>
        <w:pStyle w:val="Brødtekst"/>
        <w:numPr>
          <w:ilvl w:val="0"/>
          <w:numId w:val="6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"https://isfjordscentret.gl/da/gletsjere-og-indlandsisen-gymnasium/"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tl w:val="0"/>
          <w:lang w:val="da-DK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isskosserne</w:t>
      </w:r>
      <w:r>
        <w:rPr>
          <w:rtl w:val="0"/>
        </w:rPr>
        <w:t>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Gletsjere og indlandsisen</w:t>
      </w:r>
      <w:r>
        <w:rPr>
          <w:rStyle w:val="Ingen"/>
          <w:rtl w:val="0"/>
          <w:lang w:val="nl-NL"/>
        </w:rPr>
        <w:t>,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GR</w:t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Ø</w:t>
      </w: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NLANDS INDLANDSIS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26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33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</w:rPr>
        <w:t>Indlandsisens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nland bestod oprindeligt af mindre iskapper, der er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dt sammen hen over tid til en stor iskappe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1.726.400 km</w:t>
      </w:r>
      <w:r>
        <w:rPr>
          <w:rStyle w:val="Ingen"/>
          <w:vertAlign w:val="superscript"/>
          <w:rtl w:val="0"/>
        </w:rPr>
        <w:t>2</w:t>
      </w:r>
      <w:r>
        <w:rPr>
          <w:rStyle w:val="Ingen"/>
          <w:rtl w:val="0"/>
        </w:rPr>
        <w:t xml:space="preserve">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 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ism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ngden fra indlandsisen svarer til ca. halvdelen af den nordlige halvkugles ferskvand.</w:t>
      </w:r>
    </w:p>
    <w:p>
      <w:pPr>
        <w:pStyle w:val="Brødtekst"/>
        <w:numPr>
          <w:ilvl w:val="0"/>
          <w:numId w:val="8"/>
        </w:numPr>
        <w:rPr>
          <w:lang w:val="da-DK"/>
        </w:rPr>
      </w:pPr>
      <w:r>
        <w:rPr>
          <w:rStyle w:val="Ingen"/>
          <w:rtl w:val="0"/>
          <w:lang w:val="da-DK"/>
        </w:rPr>
        <w:t>hvad istider og mellemistider er. Tal gerne om at vi er i en mellemistid nu, og hvor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nge den ca. varer. </w:t>
      </w:r>
    </w:p>
    <w:p>
      <w:pPr>
        <w:pStyle w:val="Brødtekst"/>
        <w:numPr>
          <w:ilvl w:val="0"/>
          <w:numId w:val="8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at man kan bruge iskerneboringer til at se, hvordan fortiden har set ud.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INDLANDSISENS SKJULTE FORT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LLINGER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  <w:lang w:val="ru-RU"/>
        </w:rPr>
        <w:t>34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41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I sedimentlag har man fundet rester af 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er og dyreliv, der ikke burde kunne findes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langt mod nord.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hvilke floraer og fauna der er trives bedst i de forskellige klimab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lter.</w:t>
      </w:r>
    </w:p>
    <w:p>
      <w:pPr>
        <w:pStyle w:val="Brødtekst"/>
        <w:numPr>
          <w:ilvl w:val="0"/>
          <w:numId w:val="10"/>
        </w:numPr>
      </w:pPr>
      <w:r>
        <w:rPr>
          <w:rStyle w:val="Ingen"/>
          <w:rtl w:val="0"/>
        </w:rPr>
        <w:t>superkontinentet Pang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a og at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nl-NL"/>
        </w:rPr>
        <w:t>nland l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en-US"/>
        </w:rPr>
        <w:t xml:space="preserve">ved 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kvator.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hvordan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gten af isen kan skabe et k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fr-FR"/>
        </w:rPr>
        <w:t>mpe pres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jordskorpen.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INDLANDSISENS ENORME KR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FTER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42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51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Indlandsisen er altid i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gelse og har enorme kr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fter, der kan knuse sten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sin vej. Man kan bestemme isens retning tusinde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efter den er smeltet, ved hj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lp af bullet nose-blokke. Hvis afsmeltningen af indlandsisen er hurtigere end tilf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rslen af ny sne, vil det resultere i en stigning i den globale vandstand.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 xml:space="preserve">hvorfor afsmeltningen de seneste par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har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ret st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rre end tilf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rslen af ny sne.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hvorfor indlandsisen altid er i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gelse.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hvordan det ville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 xml:space="preserve">virke resten af verden hvis al indlandsisen smeltede.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BORDMODELLEN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Bordmodellen viser gletsjerfrontens bev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gelse fra midten af 1800-tallet frem til 2018. Her kan man tydeligt se, at gletsjeren har 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get sin hastighed de seneste par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r. Forskere ser det som et tegn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nl-NL"/>
        </w:rPr>
        <w:t>global opvarmning.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hvilke eksempler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klimaforandringer de kender til.</w:t>
      </w:r>
    </w:p>
    <w:p>
      <w:pPr>
        <w:pStyle w:val="Brødtekst"/>
        <w:numPr>
          <w:ilvl w:val="0"/>
          <w:numId w:val="12"/>
        </w:numPr>
      </w:pPr>
      <w:r>
        <w:rPr>
          <w:rStyle w:val="Ingen"/>
          <w:rtl w:val="0"/>
        </w:rPr>
        <w:t>hvad en gletsjer er.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at Sermeq Kujalleq er verdens mest produktive gletsjer.</w:t>
      </w: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gletsjerlandskaber rundt omkring i verden.</w:t>
      </w:r>
    </w:p>
    <w:p>
      <w:pPr>
        <w:pStyle w:val="Brødtekst"/>
        <w:numPr>
          <w:ilvl w:val="0"/>
          <w:numId w:val="14"/>
        </w:numPr>
        <w:rPr>
          <w:lang w:val="da-DK"/>
        </w:rPr>
      </w:pPr>
      <w:r>
        <w:rPr>
          <w:rStyle w:val="Ingen"/>
          <w:rtl w:val="0"/>
          <w:lang w:val="da-DK"/>
        </w:rPr>
        <w:t>hvordan den globale opvarmning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virker klimaet i resten af verden.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fokus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andre dele af verden og hvordan der ville se ud, hvis al indlandsisen smeltede og den globale vandstand steg 7,2 meter.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0"/>
      <w:bookmarkEnd w:id="0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"https://isfjordscentret.gl/da/gletsjere-og-indlandsisen-gymnasium/"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Gletsjere og indlandsisen</w:t>
      </w:r>
      <w:r>
        <w:rPr/>
        <w:fldChar w:fldCharType="end" w:fldLock="0"/>
      </w:r>
      <w:r>
        <w:rPr>
          <w:rStyle w:val="Ingen"/>
          <w:i w:val="1"/>
          <w:iCs w:val="1"/>
          <w:rtl w:val="0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