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 A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-177799</wp:posOffset>
                </wp:positionV>
                <wp:extent cx="1743078" cy="788771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8" cy="788771"/>
                          <a:chOff x="0" y="-1"/>
                          <a:chExt cx="1743077" cy="78877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2"/>
                            <a:ext cx="1743078" cy="788771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07341" y="121861"/>
                            <a:ext cx="1128394" cy="54504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spacing w:line="275" w:lineRule="auto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7.3pt;height:62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-1" coordsize="1743078,788770">
                <w10:wrap type="none" side="bothSides" anchorx="text"/>
                <v:oval id="_x0000_s1027" style="position:absolute;left:0;top:-1;width:1743078;height:788770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7341;top:121861;width:1128393;height:54504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spacing w:line="275" w:lineRule="auto"/>
                          <w:jc w:val="center"/>
                        </w:pP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Fangst og fiskeri ved Isfjorden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 A"/>
          <w:rtl w:val="0"/>
        </w:rPr>
        <w:t xml:space="preserve"> 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Gymnasium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 A"/>
        <w:keepNext w:val="1"/>
        <w:keepLines w:val="1"/>
        <w:tabs>
          <w:tab w:val="right" w:pos="9356"/>
        </w:tabs>
        <w:spacing w:before="240"/>
        <w:rPr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OM BES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Ø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GSMATERIALET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"https://isfjordscentret.gl/da/fangst-og-fiskeri-gymnasium/"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Det best</w:t>
      </w:r>
      <w:r>
        <w:rPr>
          <w:rStyle w:val="Ingen"/>
          <w:rFonts w:ascii="Bradford LL" w:hAnsi="Bradford LL" w:hint="default"/>
          <w:rtl w:val="0"/>
          <w:lang w:val="da-DK"/>
        </w:rPr>
        <w:t>å</w:t>
      </w:r>
      <w:r>
        <w:rPr>
          <w:rStyle w:val="Ingen"/>
          <w:rFonts w:ascii="Bradford LL" w:hAnsi="Bradford LL"/>
          <w:rtl w:val="0"/>
          <w:lang w:val="da-DK"/>
        </w:rPr>
        <w:t xml:space="preserve">r af 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  <w:lang w:val="da-DK"/>
        </w:rPr>
        <w:t>Sidehenvisningerne er til den bog, der er placeret ved temaet.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"https://isfjordscentret.gl/wp-content/uploads/2022/10/Fangst_final.pdf"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Fangst og fiskeri </w:t>
      </w:r>
      <w:r>
        <w:rPr>
          <w:rStyle w:val="Hyperlink.0"/>
          <w:rtl w:val="0"/>
        </w:rPr>
        <w:t>…</w:t>
      </w:r>
      <w:r>
        <w:rPr/>
        <w:fldChar w:fldCharType="end" w:fldLock="0"/>
      </w:r>
      <w:r>
        <w:rPr>
          <w:rStyle w:val="Ingen"/>
          <w:rFonts w:ascii="Bradford LL" w:hAnsi="Bradford LL"/>
          <w:rtl w:val="0"/>
        </w:rPr>
        <w:t xml:space="preserve">) </w:t>
      </w:r>
    </w:p>
    <w:p>
      <w:pPr>
        <w:pStyle w:val="Brødtekst A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FAG OG KOMPETENCEOMR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DER</w:t>
      </w:r>
    </w:p>
    <w:p>
      <w:pPr>
        <w:pStyle w:val="Brødtekst A"/>
        <w:tabs>
          <w:tab w:val="right" w:pos="9356"/>
        </w:tabs>
      </w:pPr>
      <w:r>
        <w:rPr>
          <w:rStyle w:val="Ingen A"/>
          <w:rtl w:val="0"/>
        </w:rPr>
        <w:t>Naturfagene, fokus p</w:t>
      </w:r>
      <w:r>
        <w:rPr>
          <w:rStyle w:val="Ingen A"/>
          <w:rtl w:val="0"/>
        </w:rPr>
        <w:t>å ø</w:t>
      </w:r>
      <w:r>
        <w:rPr>
          <w:rStyle w:val="Ingen"/>
          <w:rtl w:val="0"/>
          <w:lang w:val="da-DK"/>
        </w:rPr>
        <w:t>velse i fordybelse samt skriftlig og mundtlig kommunikation</w:t>
      </w:r>
    </w:p>
    <w:p>
      <w:pPr>
        <w:pStyle w:val="Brødtekst A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Æ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RINGSM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</w:p>
    <w:p>
      <w:pPr>
        <w:pStyle w:val="Brødtekst A"/>
        <w:numPr>
          <w:ilvl w:val="0"/>
          <w:numId w:val="4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 viden om flere hundrede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 gamle fangstmetoder, metoder der stadig anvendes, men med mere moderne udstyr. </w:t>
      </w:r>
    </w:p>
    <w:p>
      <w:pPr>
        <w:pStyle w:val="Brødtekst A"/>
        <w:numPr>
          <w:ilvl w:val="0"/>
          <w:numId w:val="4"/>
        </w:numPr>
        <w:bidi w:val="0"/>
        <w:ind w:right="0"/>
        <w:jc w:val="left"/>
        <w:rPr>
          <w:rtl w:val="0"/>
          <w:lang w:val="nl-NL"/>
        </w:rPr>
      </w:pP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rlig viden om inuits oprindelige tro, herunder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ndemanerens status og rolle og sagnet om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Havets Moder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 A"/>
        <w:numPr>
          <w:ilvl w:val="0"/>
          <w:numId w:val="4"/>
        </w:numPr>
        <w:bidi w:val="0"/>
        <w:ind w:right="0"/>
        <w:jc w:val="left"/>
        <w:rPr>
          <w:rtl w:val="0"/>
          <w:lang w:val="nl-NL"/>
        </w:rPr>
      </w:pP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 kendskab til, hvad fiskeriet betyder for livet i Isfjorden. </w:t>
      </w:r>
    </w:p>
    <w:p>
      <w:pPr>
        <w:pStyle w:val="Brødtekst A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VEJLEDNING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grundplanen, og lad dem finde 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Fangst og fiskeri ved Isfjorden.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arkene med eleverne, 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de ikke er i tvivl om hvad opgaven er. </w:t>
      </w:r>
    </w:p>
    <w:p>
      <w:pPr>
        <w:pStyle w:val="List Paragraph"/>
        <w:numPr>
          <w:ilvl w:val="0"/>
          <w:numId w:val="6"/>
        </w:numPr>
        <w:bidi w:val="0"/>
        <w:spacing w:before="12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infoarkets forside er der en kort tekst samt en </w:t>
      </w:r>
      <w:r>
        <w:rPr>
          <w:rStyle w:val="Ingen A"/>
          <w:rtl w:val="0"/>
          <w:lang w:val="da-DK"/>
        </w:rPr>
        <w:t>forklaring af den opgave hvor eleverne skal finde et kodeord. De skal bruge de 5 bogstaver de f</w:t>
      </w:r>
      <w:r>
        <w:rPr>
          <w:rStyle w:val="Ingen A"/>
          <w:rtl w:val="0"/>
          <w:lang w:val="da-DK"/>
        </w:rPr>
        <w:t>å</w:t>
      </w:r>
      <w:r>
        <w:rPr>
          <w:rStyle w:val="Ingen A"/>
          <w:rtl w:val="0"/>
          <w:lang w:val="da-DK"/>
        </w:rPr>
        <w:t>r fra hver cirkel, samt det f</w:t>
      </w:r>
      <w:r>
        <w:rPr>
          <w:rStyle w:val="Ingen A"/>
          <w:rtl w:val="0"/>
          <w:lang w:val="da-DK"/>
        </w:rPr>
        <w:t>ø</w:t>
      </w:r>
      <w:r>
        <w:rPr>
          <w:rStyle w:val="Ingen A"/>
          <w:rtl w:val="0"/>
          <w:lang w:val="da-DK"/>
        </w:rPr>
        <w:t>rste bogstav, B, der bliver givet p</w:t>
      </w:r>
      <w:r>
        <w:rPr>
          <w:rStyle w:val="Ingen A"/>
          <w:rtl w:val="0"/>
          <w:lang w:val="da-DK"/>
        </w:rPr>
        <w:t xml:space="preserve">å </w:t>
      </w:r>
      <w:r>
        <w:rPr>
          <w:rStyle w:val="Ingen A"/>
          <w:rtl w:val="0"/>
          <w:lang w:val="da-DK"/>
        </w:rPr>
        <w:t>forsiden. Disse bogstaver skal de s</w:t>
      </w:r>
      <w:r>
        <w:rPr>
          <w:rStyle w:val="Ingen A"/>
          <w:rtl w:val="0"/>
          <w:lang w:val="da-DK"/>
        </w:rPr>
        <w:t>æ</w:t>
      </w:r>
      <w:r>
        <w:rPr>
          <w:rStyle w:val="Ingen A"/>
          <w:rtl w:val="0"/>
          <w:lang w:val="da-DK"/>
        </w:rPr>
        <w:t>tte sammen, s</w:t>
      </w:r>
      <w:r>
        <w:rPr>
          <w:rStyle w:val="Ingen A"/>
          <w:rtl w:val="0"/>
          <w:lang w:val="da-DK"/>
        </w:rPr>
        <w:t xml:space="preserve">å </w:t>
      </w:r>
      <w:r>
        <w:rPr>
          <w:rStyle w:val="Ingen A"/>
          <w:rtl w:val="0"/>
          <w:lang w:val="da-DK"/>
        </w:rPr>
        <w:t xml:space="preserve">de danner kodeordet. (barder)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 A"/>
        <w:numPr>
          <w:ilvl w:val="0"/>
          <w:numId w:val="8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bagsiden er der t</w:t>
      </w:r>
      <w:r>
        <w:rPr>
          <w:rStyle w:val="Ingen A"/>
          <w:rtl w:val="0"/>
        </w:rPr>
        <w:t>re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 til hver af de 5 isskosser</w:t>
      </w:r>
      <w:r>
        <w:rPr>
          <w:rStyle w:val="Ingen"/>
          <w:rtl w:val="0"/>
          <w:lang w:val="da-DK"/>
        </w:rPr>
        <w:t>, samt cirklerne med bogstaver i.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Mange af 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 kan de finde svar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ved at kigge i isskosserne og i bogen. Nogle af 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 skal de selv s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ge svar p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.</w:t>
      </w:r>
    </w:p>
    <w:p>
      <w:pPr>
        <w:pStyle w:val="Brødtekst A"/>
        <w:numPr>
          <w:ilvl w:val="0"/>
          <w:numId w:val="8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svararket er der plads til at eleverne kan notere eller tegne deres svar. 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"https://isfjordscentret.gl/da/fangst-og-fiskeri-gymnasium/"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Ingen A"/>
          <w:rtl w:val="0"/>
        </w:rPr>
        <w:t>.</w:t>
      </w:r>
    </w:p>
    <w:p>
      <w:pPr>
        <w:pStyle w:val="Brødtekst A"/>
        <w:tabs>
          <w:tab w:val="right" w:pos="9356"/>
        </w:tabs>
      </w:pPr>
    </w:p>
    <w:p>
      <w:pPr>
        <w:pStyle w:val="Brødtekst A"/>
        <w:tabs>
          <w:tab w:val="right" w:pos="9356"/>
        </w:tabs>
      </w:pPr>
      <w:r>
        <w:rPr>
          <w:rStyle w:val="Ingen A"/>
          <w:rtl w:val="0"/>
        </w:rPr>
        <w:t>Instruer eleverne i at se n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je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isskosserne,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Fangst og fiskeri ved Isfjorden</w:t>
      </w:r>
      <w:r>
        <w:rPr>
          <w:rStyle w:val="Ingen"/>
          <w:rtl w:val="0"/>
          <w:lang w:val="nl-NL"/>
        </w:rPr>
        <w:t>,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l. Man kan med fordel organisere eleverne parvis eller mindre grupper.</w:t>
      </w:r>
    </w:p>
    <w:p>
      <w:pPr>
        <w:pStyle w:val="Brødtekst A"/>
        <w:tabs>
          <w:tab w:val="right" w:pos="9356"/>
        </w:tabs>
      </w:pPr>
    </w:p>
    <w:p>
      <w:pPr>
        <w:pStyle w:val="Brødtekst A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Forslag til arbejdet med isskosserne under/efter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get</w:t>
      </w:r>
    </w:p>
    <w:p>
      <w:pPr>
        <w:pStyle w:val="Brødtekst A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HELLEFISKERI 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8-21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 isskossen se</w:t>
      </w:r>
      <w:r>
        <w:rPr>
          <w:rStyle w:val="Ingen"/>
          <w:rtl w:val="0"/>
          <w:lang w:val="da-DK"/>
        </w:rPr>
        <w:t>r man en figur af en, der fisker efter hellefisk. I bogen kan de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 om hellefiskeri, hundesl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den og jollefiskeriet.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at man i mere end 300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har fanget hellefisk fra havisen med langliner 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sat kroge lavet af barder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at metoden i dag er den samme blot med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glidere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og kroge af metal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hvorfor hellefiskeri har veget pladsen til fordel for rejefiskeri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hvorfor hundesl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den er overlegen i forhold til andre transportmidler,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det kommer til jagt</w:t>
      </w: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LFANGST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22-33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isskossen ses en fanger med sin kajak og harpun klar til sommerfangst. Saqqaq-folket, som boede ved Isfjorden fra 2500-800 f.v.t., brugte en tidlig version af kajakken og harpunen. Redskaberne og fart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jerne udvikledes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rligt omkring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1200, da inuit/Thule-folket kom til. De har ikke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ndret sig v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sentligt siden da.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 A"/>
          <w:rtl w:val="0"/>
        </w:rPr>
        <w:t>hvilke n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ringsstoffer kroppen har brug for  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forskellen er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Saqqaq-folket og Thule-folket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at kajakken i dag er afl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st af joller og motorb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HVALFANGST 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  <w:lang w:val="ru-RU"/>
        </w:rPr>
        <w:t>34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 A"/>
          <w:rtl w:val="0"/>
        </w:rPr>
        <w:t>45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isskossen ser man en hval. Hvalfangst var for inuit en vigtig del af deres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de. Hvalens k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 og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 kunne sikre bopladsen overlevelse hele vinteren. Hvalerne blev fanget fra umiaq (koneb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d). Normalt var det kvinderne, der roede den, men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der skulle fanges hvaler, var det 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ndene. Siden 1920</w:t>
      </w:r>
      <w:r>
        <w:rPr>
          <w:rStyle w:val="Ingen"/>
          <w:rFonts w:ascii="Arial Unicode MS" w:hAnsi="Arial Unicode MS" w:hint="default"/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erne er det mere moderne b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dtyper, man bruger til hvalfangst.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4"/>
        </w:numPr>
      </w:pPr>
      <w:r>
        <w:rPr>
          <w:rStyle w:val="Ingen A"/>
          <w:rtl w:val="0"/>
        </w:rPr>
        <w:t>hvordan klimaforandringer kan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 xml:space="preserve">virke forekomsten af </w:t>
      </w:r>
      <w:r>
        <w:rPr>
          <w:rStyle w:val="Ingen"/>
          <w:rFonts w:ascii="Arial Unicode MS" w:hAnsi="Arial Unicode MS" w:hint="default"/>
          <w:rtl w:val="1"/>
        </w:rPr>
        <w:t>‘</w:t>
      </w:r>
      <w:r>
        <w:rPr>
          <w:rStyle w:val="Ingen A"/>
          <w:rtl w:val="0"/>
        </w:rPr>
        <w:t>sassat</w:t>
      </w:r>
      <w:r>
        <w:rPr>
          <w:rStyle w:val="Ingen"/>
          <w:rFonts w:ascii="Arial Unicode MS" w:hAnsi="Arial Unicode MS" w:hint="default"/>
          <w:rtl w:val="1"/>
        </w:rPr>
        <w:t>’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man brugte hvaler til</w:t>
      </w:r>
    </w:p>
    <w:p>
      <w:pPr>
        <w:pStyle w:val="Brødtekst A"/>
        <w:numPr>
          <w:ilvl w:val="1"/>
          <w:numId w:val="14"/>
        </w:numPr>
      </w:pPr>
      <w:r>
        <w:rPr>
          <w:rStyle w:val="Ingen A"/>
          <w:rtl w:val="0"/>
        </w:rPr>
        <w:t>k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d, knogler, barder og tran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hvalens betydning for inuits overlevelse</w:t>
      </w: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SHAMANEN OG RELATIONEN MELLEM NATUR OG MENNESKE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  <w:tab/>
        <w:t xml:space="preserve">s. </w:t>
      </w:r>
      <w:r>
        <w:rPr>
          <w:rStyle w:val="Ingen A"/>
          <w:rtl w:val="0"/>
        </w:rPr>
        <w:t>46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 A"/>
          <w:rtl w:val="0"/>
        </w:rPr>
        <w:t>53</w:t>
      </w:r>
    </w:p>
    <w:p>
      <w:pPr>
        <w:pStyle w:val="Brødtekst A"/>
        <w:tabs>
          <w:tab w:val="right" w:pos="9612"/>
        </w:tabs>
        <w:rPr>
          <w:rStyle w:val="Inge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 isskossen k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rer en animation af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Shamanens rejse til havets moder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. Kort fortalt: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Havets moder d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jede med inuitternes misgerninger 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bopladsen og samlede som straf alle fangstdyrene i sin iltre h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rpragt 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bunden af havet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mere s. 50.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begreberne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sagn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myter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at shamanen, angakkoq, var forbindelsesleddet mellem den fysiske verden og den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ndelige verden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sagnet om vejrets v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sen er</w:t>
      </w: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FORBEREDELSE TIL FANGST</w:t>
      </w:r>
      <w:r>
        <w:rPr>
          <w:rStyle w:val="Ingen"/>
          <w:rtl w:val="0"/>
          <w:lang w:val="pt-PT"/>
        </w:rPr>
        <w:t xml:space="preserve"> </w:t>
        <w:tab/>
        <w:t>s. 54-59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isskossen ser man en model i fedtsten af en kvinde, der er ved at reng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fr-FR"/>
        </w:rPr>
        <w:t>re et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nl-NL"/>
        </w:rPr>
        <w:t>lskind. Inuit var afh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ngige af naturens magter og kr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fter, og for fangerne var det derfor vigtigt at opretholde gode relationer med fangstdyrenes sj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le. Det gjorde de ved at respektere tabuer, udf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 xml:space="preserve">re ritualer og andre skikke.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Tal med eleverne om: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hvad en amulet er, og hvad den kan beskytte imod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at forskellige religioner kan benytte sig af forskellige amuletter og artefakter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kvindens og mandens rolle i samfundet var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Brødtekst A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Yderligere forslag til arbejdet 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 xml:space="preserve">get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lgende emner</w:t>
      </w:r>
    </w:p>
    <w:p>
      <w:pPr>
        <w:pStyle w:val="Brødtekst A"/>
        <w:numPr>
          <w:ilvl w:val="0"/>
          <w:numId w:val="2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hvordan klimaforandringerne p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virker dyrenes levevilk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r.</w:t>
      </w:r>
    </w:p>
    <w:p>
      <w:pPr>
        <w:pStyle w:val="Brødtekst A"/>
        <w:numPr>
          <w:ilvl w:val="0"/>
          <w:numId w:val="20"/>
        </w:numPr>
        <w:bidi w:val="0"/>
        <w:ind w:right="0"/>
        <w:jc w:val="left"/>
        <w:rPr>
          <w:rtl w:val="0"/>
        </w:rPr>
      </w:pPr>
      <w:r>
        <w:rPr>
          <w:rStyle w:val="Ingen A"/>
          <w:rtl w:val="0"/>
        </w:rPr>
        <w:t>hvordan fiskeriet er i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nland i dag, i forhold til hvordan det var tidligere. I kan arbejde med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konomi og fiskekvoter.</w:t>
      </w:r>
    </w:p>
    <w:p>
      <w:pPr>
        <w:pStyle w:val="Brødtekst A"/>
        <w:numPr>
          <w:ilvl w:val="0"/>
          <w:numId w:val="2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hvordan mennesker har skaffet sig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de, og hvordan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den har 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ndret sig frem til i dag. Hvad det g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 ved menneskekroppen at spise meget forarbejdet mad.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bookmarkStart w:name="_headingh.gjdgxs" w:id="0"/>
      <w:bookmarkEnd w:id="0"/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"https://isfjordscentret.gl/da/fangst-og-fiskeri-gymnasium/"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Fangst og fiskeri ved Isfjorden.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ret format 10"/>
  </w:abstractNum>
  <w:abstractNum w:abstractNumId="19">
    <w:multiLevelType w:val="hybridMultilevel"/>
    <w:styleLink w:val="Importeret format 1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 A">
    <w:name w:val="Ingen A"/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numbering" w:styleId="Importeret format 10">
    <w:name w:val="Importeret format 10"/>
    <w:pPr>
      <w:numPr>
        <w:numId w:val="19"/>
      </w:numPr>
    </w:pPr>
  </w:style>
  <w:style w:type="character" w:styleId="Hyperlink.1">
    <w:name w:val="Hyperlink.1"/>
    <w:basedOn w:val="Ingen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