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-177799</wp:posOffset>
                </wp:positionV>
                <wp:extent cx="1730376" cy="783019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6" cy="783019"/>
                          <a:chOff x="0" y="0"/>
                          <a:chExt cx="1730375" cy="783018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30376" cy="7830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5482" y="121019"/>
                            <a:ext cx="1119411" cy="5409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e7e6e6"/>
                                  <w:u w:color="e7e6e6"/>
                                  <w:rtl w:val="0"/>
                                  <w14:textFill>
                                    <w14:solidFill>
                                      <w14:srgbClr w14:val="E7E6E6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e7e6e6"/>
                                  <w:u w:color="e7e6e6"/>
                                  <w:rtl w:val="0"/>
                                  <w:lang w:val="da-DK"/>
                                  <w14:textFill>
                                    <w14:solidFill>
                                      <w14:srgbClr w14:val="E7E6E6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e7e6e6"/>
                                  <w:u w:color="e7e6e6"/>
                                  <w:rtl w:val="0"/>
                                  <w:lang w:val="da-DK"/>
                                  <w14:textFill>
                                    <w14:solidFill>
                                      <w14:srgbClr w14:val="E7E6E6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6.3pt;height:61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730376,783018">
                <w10:wrap type="none" side="bothSides" anchorx="text"/>
                <v:oval id="_x0000_s1027" style="position:absolute;left:0;top:0;width:1730376;height:783018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5483;top:121020;width:1119409;height:54097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e7e6e6"/>
                            <w:u w:color="e7e6e6"/>
                            <w:rtl w:val="0"/>
                            <w14:textFill>
                              <w14:solidFill>
                                <w14:srgbClr w14:val="E7E6E6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e7e6e6"/>
                            <w:u w:color="e7e6e6"/>
                            <w:rtl w:val="0"/>
                            <w:lang w:val="da-DK"/>
                            <w14:textFill>
                              <w14:solidFill>
                                <w14:srgbClr w14:val="E7E6E6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e7e6e6"/>
                            <w:u w:color="e7e6e6"/>
                            <w:rtl w:val="0"/>
                            <w:lang w:val="da-DK"/>
                            <w14:textFill>
                              <w14:solidFill>
                                <w14:srgbClr w14:val="E7E6E6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Sermermiut-bopladsen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tl w:val="0"/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Gymnasium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OM BES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Ø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"https://isfjordscentret.gl/da/sermermiut-bopladsen-gymnasium/"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Style w:val="Ingen"/>
          <w:rFonts w:ascii="Bradford LL" w:hAnsi="Bradford LL"/>
          <w:rtl w:val="0"/>
          <w:lang w:val="da-DK"/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"https://issuu.com/isfjordscentret/docs/sermermiut_final?fr=xKAE9_zU1NQ"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Sermermiut-Bopladsen</w:t>
      </w:r>
      <w:r>
        <w:rPr/>
        <w:fldChar w:fldCharType="end" w:fldLock="0"/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FAG OG KOMPETENCEOMR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DER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Historie og naturfagene, fokus p</w:t>
      </w:r>
      <w:r>
        <w:rPr>
          <w:rStyle w:val="Ingen"/>
          <w:rtl w:val="0"/>
        </w:rPr>
        <w:t>å ø</w:t>
      </w:r>
      <w:r>
        <w:rPr>
          <w:rStyle w:val="Ingen"/>
          <w:rtl w:val="0"/>
          <w:lang w:val="da-DK"/>
        </w:rPr>
        <w:t>velse i fordybelse samt skriftlig og mundtlig kommunikation.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Æ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RINGSM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 viden om udviklingen af fangstredskaber og brugsgenstande gennem flere tusinde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Brødtekst"/>
        <w:numPr>
          <w:ilvl w:val="0"/>
          <w:numId w:val="4"/>
        </w:numPr>
        <w:rPr>
          <w:lang w:val="nl-NL"/>
        </w:rPr>
      </w:pP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rlig viden om bopladsen Sermermiut og indvandringerne af Saqqaqfolket, Dorsetfolket og Thulefolket.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VEJLEDNING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grundplanen og lad dem finde isskosserne og bordmodellen, som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senterer </w:t>
      </w:r>
      <w:r>
        <w:rPr>
          <w:rStyle w:val="Ingen"/>
          <w:i w:val="1"/>
          <w:iCs w:val="1"/>
          <w:rtl w:val="0"/>
          <w:lang w:val="da-DK"/>
        </w:rPr>
        <w:t>Sermermiut-bopladsen.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arkene med eleverne,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de ikke er i tvivl om hvad opgaven er. </w:t>
      </w:r>
    </w:p>
    <w:p>
      <w:pPr>
        <w:pStyle w:val="List Paragraph"/>
        <w:numPr>
          <w:ilvl w:val="0"/>
          <w:numId w:val="6"/>
        </w:numPr>
        <w:spacing w:before="120"/>
        <w:rPr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infoarkets forside er der en kort tekst. 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svararket er der t</w:t>
      </w:r>
      <w:r>
        <w:rPr>
          <w:rStyle w:val="Ingen"/>
          <w:rtl w:val="0"/>
          <w:lang w:val="da-DK"/>
        </w:rPr>
        <w:t>re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 til hver af de 3 isskosser og bordmodellen. Ud for hvert billede af isskosserne er der en cirkel med et bogstav i. Disse bogstaver skal de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tte sammen og tilf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je et </w:t>
      </w:r>
      <w:r>
        <w:rPr>
          <w:rStyle w:val="Ingen"/>
          <w:rtl w:val="0"/>
          <w:lang w:val="da-DK"/>
        </w:rPr>
        <w:t>o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og et </w:t>
      </w:r>
      <w:r>
        <w:rPr>
          <w:rStyle w:val="Ingen"/>
          <w:rtl w:val="0"/>
          <w:lang w:val="da-DK"/>
        </w:rPr>
        <w:t>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,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de danner kodeordet. (</w:t>
      </w:r>
      <w:r>
        <w:rPr>
          <w:rStyle w:val="Ingen"/>
          <w:rtl w:val="0"/>
          <w:lang w:val="da-DK"/>
        </w:rPr>
        <w:t>Dorset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)</w:t>
      </w:r>
    </w:p>
    <w:p>
      <w:pPr>
        <w:pStyle w:val="Brødtekst"/>
        <w:numPr>
          <w:ilvl w:val="0"/>
          <w:numId w:val="8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"https://isfjordscentret.gl/da/sermermiut-bopladsen-gymnasium/"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Ingen"/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Lad nu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til isskosserne. Instruer dem i at se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je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dem,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Forslag til arbejdet med isskosserne under/efter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get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BILLEDET P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Å 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FORSIDEN AF INFO-ARKET s. 4-5 i bogen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</w:pPr>
      <w:r>
        <w:rPr>
          <w:rStyle w:val="Ingen"/>
          <w:rtl w:val="0"/>
          <w:lang w:val="da-DK"/>
        </w:rPr>
        <w:t>Lad eleverne studere billedet og tal om stedets egnethed som boplads. Teksten til billedet:</w:t>
      </w:r>
    </w:p>
    <w:p>
      <w:pPr>
        <w:pStyle w:val="Brødtekst"/>
        <w:ind w:left="340" w:firstLine="0"/>
        <w:rPr>
          <w:rStyle w:val="Ingen"/>
          <w:i w:val="1"/>
          <w:iCs w:val="1"/>
        </w:rPr>
      </w:pPr>
      <w:r>
        <w:rPr>
          <w:rStyle w:val="Ingen"/>
          <w:i w:val="1"/>
          <w:iCs w:val="1"/>
          <w:rtl w:val="0"/>
          <w:lang w:val="da-DK"/>
        </w:rPr>
        <w:t>Den tidligere boplads i Sermermiut ligger p</w:t>
      </w:r>
      <w:r>
        <w:rPr>
          <w:rStyle w:val="Ingen"/>
          <w:i w:val="1"/>
          <w:iCs w:val="1"/>
          <w:rtl w:val="0"/>
        </w:rPr>
        <w:t xml:space="preserve">å </w:t>
      </w:r>
      <w:r>
        <w:rPr>
          <w:rStyle w:val="Ingen"/>
          <w:i w:val="1"/>
          <w:iCs w:val="1"/>
          <w:rtl w:val="0"/>
          <w:lang w:val="da-DK"/>
        </w:rPr>
        <w:t>klinten i bunden af bugten.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FANGSTREDSKABER </w:t>
      </w:r>
      <w:r>
        <w:rPr>
          <w:rStyle w:val="Inge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ab/>
        <w:t>s. 6-13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Eleverne skal unders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 de forskellige ark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ologiske fund, der er i isskossen. De kan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se om dem i bogen. 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Eleverne skal svare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hvilke dyr de formoder, man fanger i Diskobugten. De kan med fordel f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inspiration fra nogle af de andre isskosser, der er i udstillingen.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de forskellige dyr der er i Diskobugten, og hvorfor Diskobugten altid har tiltrukket mennesker.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tidlig- og sen inuitkultur og hvilke forskelle og ligheder der er. 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hvilke materialer man kan benytte til at lave jagtredskaber af.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ULU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14-19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Eleverne skal unders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ge skrabere og ulu</w:t>
      </w:r>
      <w:r>
        <w:rPr>
          <w:rStyle w:val="Ingen"/>
          <w:rtl w:val="1"/>
        </w:rPr>
        <w:t>’</w:t>
      </w:r>
      <w:r>
        <w:rPr>
          <w:rStyle w:val="Ingen"/>
          <w:rtl w:val="0"/>
          <w:lang w:val="da-DK"/>
        </w:rPr>
        <w:t>er, og hvordan de har udviklet sig gennem tiden.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uluens udvikling fra skraberen og om hvilke materialer ulu</w:t>
      </w:r>
      <w:r>
        <w:rPr>
          <w:rStyle w:val="Ingen"/>
          <w:outline w:val="0"/>
          <w:color w:val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en bliver lavet af.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forskellige sten og bjergarter og hvad man har brugt dem til gennem tiden.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uluen misvisende er opfattet som et kvindesymbol da ogs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m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nd i lige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h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j grad anvendte kniven.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 xml:space="preserve">betydningen af symboler, og hvilke andre kvinde- og mandesymboler eleverne kender. </w:t>
      </w:r>
    </w:p>
    <w:p>
      <w:pPr>
        <w:pStyle w:val="Brødtekst"/>
        <w:numPr>
          <w:ilvl w:val="0"/>
          <w:numId w:val="10"/>
        </w:numPr>
        <w:rPr>
          <w:lang w:val="en-US"/>
        </w:rPr>
      </w:pPr>
      <w:r>
        <w:rPr>
          <w:rStyle w:val="Ingen"/>
          <w:rtl w:val="0"/>
          <w:lang w:val="en-US"/>
        </w:rPr>
        <w:t>form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 med s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danne symboler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FEDSTSTENSLAMPE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20-23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Eleverne skal unders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 fedstenslampen, og finde ud af hvad man brugte den til og hvordan.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at man benyttede alt fra dyret, til blandt andet at lave t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j, mad og lys. 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at elektriciteten afl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ste fedtstenslampen, og hvorn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r.</w:t>
      </w:r>
    </w:p>
    <w:p>
      <w:pPr>
        <w:pStyle w:val="Brødtekst"/>
        <w:numPr>
          <w:ilvl w:val="0"/>
          <w:numId w:val="10"/>
        </w:numPr>
      </w:pPr>
      <w:r>
        <w:rPr>
          <w:rStyle w:val="Ingen"/>
          <w:rtl w:val="0"/>
        </w:rPr>
        <w:t>termisk energi og andre energiformer.</w:t>
      </w:r>
    </w:p>
    <w:p>
      <w:pPr>
        <w:pStyle w:val="Brødtekst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B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ORDMODELLEN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20-23</w:t>
      </w:r>
    </w:p>
    <w:p>
      <w:pPr>
        <w:pStyle w:val="Brødtekst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Bordmodellen viser bopladsen Sermermiut i fire perioder: 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2500 f.v.t. -0  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0-1200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1200-1600  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1741 og op til nutiden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Lad eleverne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 intro-teksten til hver af de fire perioder, inden de ser animationerne. Teksten st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nederst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bordmodellen.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hvilke forskellige folkeslag og deres kulturer, der har bosat sig i omr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det 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hvilke fangstredskaber der bliver brugt i animationerne.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at der har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ret bosat mange forskellige kulturer, men man kan ikke finde mange spor af at de har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ret der. Ville det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re det samme hvis alle mennesker fraflyttede den by I bor i? </w:t>
      </w:r>
    </w:p>
    <w:p>
      <w:pPr>
        <w:pStyle w:val="Brødtekst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Yderligere forslag til arbejdet 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lgende emner</w:t>
      </w:r>
    </w:p>
    <w:p>
      <w:pPr>
        <w:pStyle w:val="Brødtekst"/>
        <w:numPr>
          <w:ilvl w:val="0"/>
          <w:numId w:val="13"/>
        </w:numPr>
        <w:rPr>
          <w:lang w:val="da-DK"/>
        </w:rPr>
      </w:pPr>
      <w:r>
        <w:rPr>
          <w:rStyle w:val="Ingen"/>
          <w:rtl w:val="0"/>
          <w:lang w:val="da-DK"/>
        </w:rPr>
        <w:t>de forskellige indvandringer</w:t>
      </w:r>
    </w:p>
    <w:p>
      <w:pPr>
        <w:pStyle w:val="Brødtekst"/>
        <w:numPr>
          <w:ilvl w:val="0"/>
          <w:numId w:val="13"/>
        </w:numPr>
        <w:rPr>
          <w:lang w:val="da-DK"/>
        </w:rPr>
      </w:pPr>
      <w:r>
        <w:rPr>
          <w:rStyle w:val="Ingen"/>
          <w:rtl w:val="0"/>
          <w:lang w:val="da-DK"/>
        </w:rPr>
        <w:t>symbolik, og hvordan man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senterer det feminine og maskulige gennem tiden og i dag.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 xml:space="preserve"> </w:t>
      </w:r>
    </w:p>
    <w:p>
      <w:pPr>
        <w:pStyle w:val="Brødtekst"/>
        <w:tabs>
          <w:tab w:val="right" w:pos="9612"/>
        </w:tabs>
      </w:pPr>
      <w:bookmarkStart w:name="_headingh.30j0zll" w:id="1"/>
      <w:bookmarkEnd w:id="1"/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"https://isfjordscentret.gl/da/sermermiut-bopladsen-gymnasium/"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Sermermiut-bopladsen.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