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-177798</wp:posOffset>
                </wp:positionV>
                <wp:extent cx="1755776" cy="794513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776" cy="794513"/>
                          <a:chOff x="0" y="0"/>
                          <a:chExt cx="1755775" cy="794512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55776" cy="79451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09201" y="122703"/>
                            <a:ext cx="1137373" cy="5491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spacing w:line="275" w:lineRule="auto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8.3pt;height:62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755776,794512">
                <w10:wrap type="none" side="bothSides" anchorx="text"/>
                <v:oval id="_x0000_s1027" style="position:absolute;left:0;top:0;width:1755776;height:794512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9202;top:122704;width:1137371;height:54910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spacing w:line="275" w:lineRule="auto"/>
                          <w:jc w:val="center"/>
                        </w:pP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Rigdomme og m</w:t>
      </w:r>
      <w:r>
        <w:rPr>
          <w:rFonts w:ascii="Bradford LL" w:hAnsi="Bradford LL" w:hint="default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ø</w: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der mellem menneske</w:t>
      </w:r>
      <w:r>
        <w:rPr>
          <w:rtl w:val="0"/>
        </w:rPr>
        <w:t>r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ldstetrinnet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OM BES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Ø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"https://isfjordscentret.gl/da/rigdomme-og-moeder-mellem-mennesker-aeldstetrinnet/"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Det best</w:t>
      </w:r>
      <w:r>
        <w:rPr>
          <w:rStyle w:val="Ingen"/>
          <w:rFonts w:ascii="Bradford LL" w:hAnsi="Bradford LL" w:hint="default"/>
          <w:rtl w:val="0"/>
          <w:lang w:val="da-DK"/>
        </w:rPr>
        <w:t>å</w:t>
      </w:r>
      <w:r>
        <w:rPr>
          <w:rStyle w:val="Ingen"/>
          <w:rFonts w:ascii="Bradford LL" w:hAnsi="Bradford LL"/>
          <w:rtl w:val="0"/>
          <w:lang w:val="da-DK"/>
        </w:rPr>
        <w:t xml:space="preserve">r af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Style w:val="Ingen"/>
          <w:rFonts w:ascii="Bradford LL" w:hAnsi="Bradford LL"/>
          <w:rtl w:val="0"/>
          <w:lang w:val="da-DK"/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"https://issuu.com/isfjordscentret/docs/rigdomme_final?fr=xKAE9_zU1NQ"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Rigdomme og m</w:t>
      </w:r>
      <w:r>
        <w:rPr>
          <w:rStyle w:val="Ingen"/>
          <w:rFonts w:ascii="Bradford LL" w:hAnsi="Bradford LL" w:hint="default"/>
          <w:outline w:val="0"/>
          <w:color w:val="1155cc"/>
          <w:u w:val="single" w:color="1155cc"/>
          <w:rtl w:val="0"/>
          <w:lang w:val="da-DK"/>
          <w14:textFill>
            <w14:solidFill>
              <w14:srgbClr w14:val="1155CC"/>
            </w14:solidFill>
          </w14:textFill>
        </w:rPr>
        <w:t>ø</w:t>
      </w:r>
      <w:r>
        <w:rPr>
          <w:rStyle w:val="Hyperlink.1"/>
          <w:rtl w:val="0"/>
          <w:lang w:val="da-DK"/>
        </w:rPr>
        <w:t>der mellem mennesker</w:t>
      </w:r>
      <w:r>
        <w:rPr>
          <w:rStyle w:val="Ingen"/>
          <w:rFonts w:ascii="Bradford LL" w:hAnsi="Bradford LL" w:hint="default"/>
          <w:outline w:val="0"/>
          <w:color w:val="1155cc"/>
          <w:u w:val="single" w:color="1155cc"/>
          <w:rtl w:val="0"/>
          <w:lang w:val="da-DK"/>
          <w14:textFill>
            <w14:solidFill>
              <w14:srgbClr w14:val="1155CC"/>
            </w14:solidFill>
          </w14:textFill>
        </w:rPr>
        <w:t>…</w:t>
      </w:r>
      <w:r>
        <w:rPr/>
        <w:fldChar w:fldCharType="end" w:fldLock="0"/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FAG OG KOMPETENCEOMR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DER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Naturfagene og historie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Æ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RINGSM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viden om </w:t>
      </w:r>
      <w:r>
        <w:rPr>
          <w:rStyle w:val="Ingen"/>
          <w:rtl w:val="0"/>
          <w:lang w:val="da-DK"/>
        </w:rPr>
        <w:t>de forskellige kulturm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der, der har fundet sted igennem tiden ved Diskobugten.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rtl w:val="0"/>
        </w:rPr>
        <w:t>eleverne</w:t>
      </w: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rlig viden om </w:t>
      </w:r>
      <w:r>
        <w:rPr>
          <w:rStyle w:val="Ingen"/>
          <w:rtl w:val="0"/>
          <w:lang w:val="da-DK"/>
        </w:rPr>
        <w:t>hvordan livet var dengang.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rtl w:val="0"/>
        </w:rPr>
        <w:t>eleverne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 en forst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else af, hvordan man kan forske i isen.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VEJLEDNING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grundplanen, og lad dem finde 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senterer </w:t>
      </w:r>
      <w:r>
        <w:rPr>
          <w:rStyle w:val="Ingen"/>
          <w:i w:val="1"/>
          <w:iCs w:val="1"/>
          <w:rtl w:val="0"/>
          <w:lang w:val="da-DK"/>
        </w:rPr>
        <w:t>Rigdomme og m</w:t>
      </w:r>
      <w:r>
        <w:rPr>
          <w:rStyle w:val="Ingen"/>
          <w:i w:val="1"/>
          <w:iCs w:val="1"/>
          <w:rtl w:val="0"/>
          <w:lang w:val="da-DK"/>
        </w:rPr>
        <w:t>ø</w:t>
      </w:r>
      <w:r>
        <w:rPr>
          <w:rStyle w:val="Ingen"/>
          <w:i w:val="1"/>
          <w:iCs w:val="1"/>
          <w:rtl w:val="0"/>
        </w:rPr>
        <w:t>der mellem mennesker.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arkene med eleverne,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de ikke er i tvivl om hvad opgaven er.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 gerne teksterne sammen med eleverne.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infoarkets forside er der en kort tekst. samt en </w:t>
      </w:r>
      <w:r>
        <w:rPr>
          <w:rStyle w:val="Ingen"/>
          <w:rtl w:val="0"/>
          <w:lang w:val="da-DK"/>
        </w:rPr>
        <w:t>forklaring af den opgave hvor eleverne skal finde et kodeord. De skal bruge de 5 bogstaver, de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fra hver af de cirkler der er ved 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lene. Disse bogstaver skal de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tte sammen,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 xml:space="preserve">de danner kodeordet. (Bytte)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bagsiden er der to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 til hver af de </w:t>
      </w:r>
      <w:r>
        <w:rPr>
          <w:rStyle w:val="Ingen"/>
          <w:rtl w:val="0"/>
        </w:rPr>
        <w:t>5</w:t>
      </w:r>
      <w:r>
        <w:rPr>
          <w:rStyle w:val="Inge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isskosser</w:t>
      </w:r>
      <w:r>
        <w:rPr>
          <w:rStyle w:val="Ingen"/>
          <w:rtl w:val="0"/>
          <w:lang w:val="da-DK"/>
        </w:rPr>
        <w:t xml:space="preserve"> og cirklerne med bogstaver i.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"https://isfjordscentret.gl/da/rigdomme-og-moeder-mellem-mennesker-aeldstetrinnet/"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Ingen"/>
          <w:rtl w:val="0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Instruer eleverne i at se n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je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isskosserne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Forslag til arbejdet med isskosserne under/efter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get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HVALROSJAGT OG NARHVALSFANGST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8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13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da-DK"/>
        </w:rPr>
        <w:t>Hvalros og narhval har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ret eftertragtede fangstdyr, da man kunne bruge deres elfenben til bl.a. smykker.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hvilke forskellige indvandringer der har v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ret igennem tiden.</w:t>
      </w:r>
    </w:p>
    <w:p>
      <w:pPr>
        <w:pStyle w:val="Brødtekst"/>
        <w:numPr>
          <w:ilvl w:val="0"/>
          <w:numId w:val="8"/>
        </w:numPr>
        <w:rPr>
          <w:lang w:val="da-DK"/>
        </w:rPr>
      </w:pPr>
      <w:r>
        <w:rPr>
          <w:rStyle w:val="Ingen"/>
          <w:rtl w:val="0"/>
          <w:lang w:val="da-DK"/>
        </w:rPr>
        <w:t>hvorfor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mange kulturer har taget til Diskobugten. </w:t>
      </w:r>
    </w:p>
    <w:p>
      <w:pPr>
        <w:pStyle w:val="Brødtekst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at man ikke l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ngere m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eksportere eller tager blot et enkelt smykke af hvalros og narhval ud af Gr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nland.</w:t>
      </w: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TROMMEDANS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14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21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da-DK"/>
        </w:rPr>
        <w:t>Man brugte trommedans til at l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se konflikter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bopladserne. Parterne udf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rte deres trommedans og sm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devise, og publikum bestemte ofte vinderen af striden. Der kunne f.eks.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re uenighed i en handelssituation. I Diskobugten blev der byttet hvalbarder for fedtsten fra Nuuk.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om de kender andre kulturer hvor man benytter trommedans.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hvordan man l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ser en konflikt i dag.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rtl w:val="0"/>
          <w:lang w:val="en-US"/>
        </w:rPr>
      </w:pPr>
      <w:r>
        <w:rPr>
          <w:rStyle w:val="Inge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 i</w:t>
      </w:r>
      <w:r>
        <w:rPr>
          <w:rStyle w:val="Ingen"/>
          <w:rtl w:val="0"/>
          <w:lang w:val="da-DK"/>
        </w:rPr>
        <w:t>nuit ofte rejste over store afstande fordi de fulgte efter fangstdyrene.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DE EUROP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ISKE HVALFANGERE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22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29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nl-NL"/>
        </w:rPr>
        <w:t>De europ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iske hvalfangere kom til Diskobugten i ca.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1670 efter sp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k fra hvaler.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et tidspunkt var bestanden af hvaler t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at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re udryddet, fordi man ikke kompenserede for fangsten. Hvalbarder og glasperler var nogle af de ting der blev byttet. Hvalbarderne blev brugt i Europa som stivere i korsetter og sk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rter og perler blev syet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kvindedragterne i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nland.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der kan komme ud af et kulturm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de, og om de kender andre eksempler.</w:t>
      </w:r>
    </w:p>
    <w:p>
      <w:pPr>
        <w:pStyle w:val="Brødtekst"/>
        <w:numPr>
          <w:ilvl w:val="0"/>
          <w:numId w:val="12"/>
        </w:numPr>
        <w:rPr>
          <w:lang w:val="da-DK"/>
        </w:rPr>
      </w:pPr>
      <w:r>
        <w:rPr>
          <w:rStyle w:val="Ingen"/>
          <w:rtl w:val="0"/>
          <w:lang w:val="da-DK"/>
        </w:rPr>
        <w:t>hvad der ville ske hvis hvalbestanden blev udryddet, som den var t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t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. Kom e.v.t. ind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de forskellige arter af hvaler.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at man kunne m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des gennem musikken - er det stadig s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 xml:space="preserve">dan i dag?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DEN DANSK-NORSKE STAT OG FORMALISERET HANDEL</w:t>
      </w:r>
      <w:r>
        <w:rPr>
          <w:rStyle w:val="Ingen"/>
          <w:rtl w:val="0"/>
          <w:lang w:val="pt-PT"/>
        </w:rPr>
        <w:tab/>
        <w:t>s. 30-39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Den danske k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bmand Jakob Severin kom aldrig til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nland, men lagde dog alligevel navn til Jakobshavn. I 1979 fik byen officielt sit oprindelige navn, Ilulissat, tilbage.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en koloni er og om de kender andre eksempler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kolonimagter end Danmark.</w:t>
      </w:r>
    </w:p>
    <w:p>
      <w:pPr>
        <w:pStyle w:val="Brødtekst"/>
        <w:numPr>
          <w:ilvl w:val="0"/>
          <w:numId w:val="12"/>
        </w:numPr>
      </w:pPr>
      <w:r>
        <w:rPr>
          <w:rStyle w:val="Ingen"/>
          <w:rtl w:val="0"/>
        </w:rPr>
        <w:t xml:space="preserve">hvordan inuits leveform 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ndrede sig i takt med, der kom kolonibutikker.</w:t>
      </w:r>
    </w:p>
    <w:p>
      <w:pPr>
        <w:pStyle w:val="Brødtekst"/>
        <w:tabs>
          <w:tab w:val="right" w:pos="9612"/>
        </w:tabs>
      </w:pPr>
    </w:p>
    <w:p>
      <w:pPr>
        <w:pStyle w:val="Brødtekst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Brødtekst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FORSKERE FRA HELE VERDEN</w:t>
      </w:r>
      <w:r>
        <w:rPr>
          <w:rStyle w:val="Ingen"/>
          <w:rtl w:val="0"/>
          <w:lang w:val="pt-PT"/>
        </w:rPr>
        <w:tab/>
        <w:t>s. 40-51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Forskning i isen er en stor del af klimaforskningen. Her gemmer sig vigtige oplysninger fra tidligere tider. Studier af gletsjere er med til at give et billede af klimaforandringernes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virkning.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indlandsisen og gletsjere er.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hvad klimaforskning og klimaforandring er.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at man kan finde DNA i permafrossen jord og hvad man kan udlede af det til.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Yderligere forslag til arbejdet 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lgende emner:</w:t>
      </w:r>
    </w:p>
    <w:p>
      <w:pPr>
        <w:pStyle w:val="Brødtekst"/>
        <w:numPr>
          <w:ilvl w:val="0"/>
          <w:numId w:val="14"/>
        </w:numPr>
      </w:pPr>
      <w:r>
        <w:rPr>
          <w:rStyle w:val="Ingen"/>
          <w:rtl w:val="0"/>
        </w:rPr>
        <w:t>klimaforandringers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virkning af indlandsisen</w:t>
      </w:r>
    </w:p>
    <w:p>
      <w:pPr>
        <w:pStyle w:val="Brødtekst"/>
        <w:numPr>
          <w:ilvl w:val="0"/>
          <w:numId w:val="14"/>
        </w:numPr>
      </w:pPr>
      <w:r>
        <w:rPr>
          <w:rStyle w:val="Ingen"/>
          <w:rtl w:val="0"/>
        </w:rPr>
        <w:t>kulturm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der i andre lande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eadingh.gjdgxs" w:id="0"/>
      <w:bookmarkEnd w:id="0"/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"https://isfjordscentret.gl/da/rigdomme-og-moeder-mellem-mennesker-aeldstetrinnet/"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a-DK"/>
        </w:rPr>
        <w:t>Rigdomme og m</w:t>
      </w:r>
      <w:r>
        <w:rPr>
          <w:rStyle w:val="Hyperlink.2"/>
          <w:rtl w:val="0"/>
          <w:lang w:val="da-DK"/>
        </w:rPr>
        <w:t>ø</w:t>
      </w:r>
      <w:r>
        <w:rPr>
          <w:rStyle w:val="Hyperlink.2"/>
          <w:rtl w:val="0"/>
          <w:lang w:val="da-DK"/>
        </w:rPr>
        <w:t>der mellem mennesker</w:t>
      </w:r>
      <w:r>
        <w:rPr/>
        <w:fldChar w:fldCharType="end" w:fldLock="0"/>
      </w:r>
      <w:r>
        <w:rPr>
          <w:rStyle w:val="Ingen"/>
          <w:i w:val="1"/>
          <w:iCs w:val="1"/>
          <w:rtl w:val="0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character" w:styleId="Hyperlink.2">
    <w:name w:val="Hyperlink.2"/>
    <w:basedOn w:val="Hyperlink"/>
    <w:next w:val="Hyperlink.2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