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i w:val="1"/>
          <w:iCs w:val="1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Iluliaq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4794289</wp:posOffset>
                </wp:positionH>
                <wp:positionV relativeFrom="line">
                  <wp:posOffset>31803</wp:posOffset>
                </wp:positionV>
                <wp:extent cx="1692208" cy="726963"/>
                <wp:effectExtent l="0" t="0" r="0" b="0"/>
                <wp:wrapNone/>
                <wp:docPr id="1073741827" name="officeArt object" descr="Gruppe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2208" cy="726963"/>
                          <a:chOff x="0" y="0"/>
                          <a:chExt cx="1692207" cy="726962"/>
                        </a:xfrm>
                      </wpg:grpSpPr>
                      <wps:wsp>
                        <wps:cNvPr id="1073741825" name="Shape 12"/>
                        <wps:cNvSpPr/>
                        <wps:spPr>
                          <a:xfrm>
                            <a:off x="0" y="-1"/>
                            <a:ext cx="1692208" cy="726964"/>
                          </a:xfrm>
                          <a:prstGeom prst="ellipse">
                            <a:avLst/>
                          </a:prstGeom>
                          <a:solidFill>
                            <a:srgbClr val="0070C0"/>
                          </a:solidFill>
                          <a:ln w="12700" cap="flat">
                            <a:solidFill>
                              <a:srgbClr val="32538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3"/>
                        <wps:cNvSpPr txBox="1"/>
                        <wps:spPr>
                          <a:xfrm>
                            <a:off x="299498" y="112443"/>
                            <a:ext cx="1093211" cy="5020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rødtekst"/>
                                <w:jc w:val="center"/>
                              </w:pPr>
                              <w:r>
                                <w:rPr>
                                  <w:rFonts w:ascii="Bradford LL" w:hAnsi="Bradford LL"/>
                                  <w:caps w:val="0"/>
                                  <w:smallCaps w:val="0"/>
                                  <w:strike w:val="0"/>
                                  <w:dstrike w:val="0"/>
                                  <w:outline w:val="0"/>
                                  <w:color w:val="000000"/>
                                  <w:sz w:val="22"/>
                                  <w:szCs w:val="22"/>
                                  <w:u w:color="000000"/>
                                  <w:vertAlign w:val="baseline"/>
                                  <w:rtl w:val="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Ilinniartitsisumut ilitsersuut</w:t>
                              </w:r>
                            </w:p>
                          </w:txbxContent>
                        </wps:txbx>
                        <wps:bodyPr wrap="square" lIns="45699" tIns="45699" rIns="45699" bIns="45699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377.5pt;margin-top:2.5pt;width:133.2pt;height:57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1692208,726962">
                <w10:wrap type="none" side="bothSides" anchorx="text"/>
                <v:oval id="_x0000_s1027" style="position:absolute;left:0;top:0;width:1692208;height:726962;">
                  <v:fill color="#0070C0" opacity="100.0%" type="solid"/>
                  <v:stroke filltype="solid" color="#32538F" opacity="100.0%" weight="1.0pt" dashstyle="solid" endcap="flat" miterlimit="800.0%" joinstyle="miter" linestyle="single" startarrow="none" startarrowwidth="medium" startarrowlength="medium" endarrow="none" endarrowwidth="medium" endarrowlength="medium"/>
                </v:oval>
                <v:shape id="_x0000_s1028" type="#_x0000_t202" style="position:absolute;left:299498;top:112444;width:1093210;height:50207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rødtekst"/>
                          <w:jc w:val="center"/>
                        </w:pPr>
                        <w:r>
                          <w:rPr>
                            <w:rFonts w:ascii="Bradford LL" w:hAnsi="Bradford LL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color w:val="000000"/>
                            <w:sz w:val="22"/>
                            <w:szCs w:val="22"/>
                            <w:u w:color="000000"/>
                            <w:vertAlign w:val="baseline"/>
                            <w:rtl w:val="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Ilinniartitsisumut ilitsersuut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 Medium" w:cs="Bradford LL Medium" w:hAnsi="Bradford LL Medium" w:eastAsia="Bradford LL Medium"/>
          <w:i w:val="1"/>
          <w:iCs w:val="1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 Medium" w:hAnsi="Bradford LL Medium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Fonts w:ascii="Bradford LL" w:hAnsi="Bradford LL"/>
          <w:i w:val="1"/>
          <w:iCs w:val="1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  <w:r>
        <w:rPr>
          <w:rFonts w:ascii="Bradford LL" w:hAnsi="Bradford LL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Ilinniarnertuunngorniartunut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jc w:val="right"/>
        <w:rPr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14:textFill>
            <w14:solidFill>
              <w14:srgbClr w14:val="002060"/>
            </w14:solidFill>
          </w14:textFill>
        </w:rPr>
      </w:pPr>
    </w:p>
    <w:p>
      <w:pPr>
        <w:pStyle w:val="Overskrift"/>
        <w:tabs>
          <w:tab w:val="right" w:pos="9356"/>
        </w:tabs>
        <w:rPr>
          <w:rFonts w:ascii="Bookman Old Style" w:cs="Bookman Old Style" w:hAnsi="Bookman Old Style" w:eastAsia="Bookman Old Style"/>
          <w:sz w:val="24"/>
          <w:szCs w:val="24"/>
        </w:rPr>
      </w:pPr>
    </w:p>
    <w:p>
      <w:pPr>
        <w:pStyle w:val="Overskrift"/>
        <w:tabs>
          <w:tab w:val="right" w:pos="9356"/>
        </w:tabs>
        <w:rPr>
          <w:rStyle w:val="Ingen"/>
          <w:rFonts w:ascii="Bradford LL" w:cs="Bradford LL" w:hAnsi="Bradford LL" w:eastAsia="Bradford LL"/>
          <w:outline w:val="0"/>
          <w:color w:val="000000"/>
          <w:sz w:val="22"/>
          <w:szCs w:val="22"/>
          <w:u w:color="000000"/>
          <w:shd w:val="clear" w:color="auto" w:fill="00ff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sz w:val="24"/>
          <w:szCs w:val="24"/>
          <w:rtl w:val="0"/>
          <w:lang w:val="de-DE"/>
        </w:rPr>
        <w:t>PULAARNERMI ATORTUSSAT PILLUGIT</w:t>
      </w:r>
      <w:r>
        <w:rPr>
          <w:rFonts w:ascii="Bookman Old Style" w:cs="Bookman Old Style" w:hAnsi="Bookman Old Style" w:eastAsia="Bookman Old Style"/>
          <w:sz w:val="24"/>
          <w:szCs w:val="24"/>
        </w:rPr>
        <w:br w:type="textWrapping"/>
      </w:r>
      <w:r>
        <w:rPr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Atortussat saaffiginnittarfimmi tunniunneqassapput. Nammineerluni anillatsinnissaat atuartullu pulaanginnerminni piareersarnissaat aamma kajumissaarutigissavarput: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"https://isfjordscentret.gl/isfjeld-gymnasium-2/"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  <w:r>
        <w:rPr>
          <w:rStyle w:val="Ingen"/>
          <w:rFonts w:ascii="Bradford LL" w:hAnsi="Bradford L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Brødtekst"/>
        <w:tabs>
          <w:tab w:val="left" w:pos="340"/>
          <w:tab w:val="right" w:pos="9356"/>
        </w:tabs>
      </w:pP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Pulaarnermi atortussat tassaapput 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saqqummersitsinerup sannaata qulaanit isigalugu titartarneqarnera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ind w:left="1080" w:hanging="360"/>
        <w:rPr>
          <w:rStyle w:val="Ingen"/>
          <w:rFonts w:ascii="Bradford LL" w:cs="Bradford LL" w:hAnsi="Bradford LL" w:eastAsia="Bradford LL"/>
          <w:sz w:val="22"/>
          <w:szCs w:val="22"/>
        </w:rPr>
      </w:pPr>
      <w:r>
        <w:rPr>
          <w:rStyle w:val="Ingen"/>
          <w:rFonts w:ascii="Bradford LL" w:hAnsi="Bradford LL" w:hint="default"/>
          <w:sz w:val="22"/>
          <w:szCs w:val="22"/>
          <w:rtl w:val="0"/>
          <w:lang w:val="en-US"/>
        </w:rPr>
        <w:t>·</w:t>
      </w:r>
      <w:r>
        <w:rPr>
          <w:rStyle w:val="Ingen"/>
          <w:sz w:val="14"/>
          <w:szCs w:val="14"/>
          <w:rtl w:val="0"/>
        </w:rPr>
        <w:t xml:space="preserve">       </w:t>
      </w:r>
      <w:r>
        <w:rPr>
          <w:rStyle w:val="Ingen"/>
          <w:rFonts w:ascii="Bradford LL" w:hAnsi="Bradford LL"/>
          <w:sz w:val="22"/>
          <w:szCs w:val="22"/>
          <w:rtl w:val="0"/>
        </w:rPr>
        <w:t>atuartunut paasissutissiaq pappiaraq ataaseq atuartullu akissutiminnut allattuiffissaat pappiaraq ataaseq</w:t>
      </w:r>
    </w:p>
    <w:p>
      <w:pPr>
        <w:pStyle w:val="Brødtekst"/>
        <w:widowControl w:val="0"/>
        <w:tabs>
          <w:tab w:val="left" w:pos="340"/>
          <w:tab w:val="left" w:pos="5670"/>
          <w:tab w:val="right" w:pos="9356"/>
        </w:tabs>
        <w:spacing w:line="276" w:lineRule="auto"/>
        <w:rPr>
          <w:rStyle w:val="Ingen"/>
          <w:rFonts w:ascii="Bradford LL" w:cs="Bradford LL" w:hAnsi="Bradford LL" w:eastAsia="Bradford LL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radford LL" w:hAnsi="Bradford LL"/>
          <w:sz w:val="22"/>
          <w:szCs w:val="22"/>
          <w:rtl w:val="0"/>
        </w:rPr>
        <w:t xml:space="preserve">Quppernernut nassuiaatit tassaapput atuakkamut tassunga sammisami inissinneqarsimasumut innersuutit: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"https://issuu.com/isfjordscentret/docs/isfjeld_final?fr=xKAE9_zU1NQ"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"Iluliaq"</w:t>
      </w:r>
      <w:r>
        <w:rPr/>
        <w:fldChar w:fldCharType="end" w:fldLock="0"/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sz w:val="24"/>
          <w:szCs w:val="24"/>
        </w:rPr>
      </w:pPr>
      <w:r>
        <w:rPr>
          <w:rStyle w:val="Ingen"/>
          <w:rFonts w:ascii="Bookman Old Style" w:hAnsi="Bookman Old Style"/>
          <w:sz w:val="24"/>
          <w:szCs w:val="24"/>
          <w:rtl w:val="0"/>
          <w:lang w:val="de-DE"/>
        </w:rPr>
        <w:t>ILINNIARTITSISSUTIT PIGINNAASAQARFIILLU</w:t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Pinngortitalerineq, itisilerinermik sungiusarneq kiisalu allattariarsorluni oqaluttariarsorlunilu attaveqaqatigiinneq qitiutillugit.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outline w:val="0"/>
          <w:color w:val="4a86e8"/>
          <w:sz w:val="24"/>
          <w:szCs w:val="24"/>
          <w:u w:color="4a86e8"/>
          <w14:textFill>
            <w14:solidFill>
              <w14:srgbClr w14:val="4A86E8"/>
            </w14:solidFill>
          </w14:textFill>
        </w:rPr>
      </w:pPr>
      <w:bookmarkStart w:name="_headingh.xrxlmvw73xz" w:id="0"/>
      <w:bookmarkEnd w:id="0"/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14:textFill>
            <w14:solidFill>
              <w14:srgbClr w14:val="4A86E8"/>
            </w14:solidFill>
          </w14:textFill>
        </w:rPr>
        <w:t>I</w:t>
      </w:r>
      <w:r>
        <w:rPr>
          <w:rStyle w:val="Ingen"/>
          <w:rFonts w:ascii="Bookman Old Style" w:hAnsi="Bookman Old Style"/>
          <w:outline w:val="0"/>
          <w:color w:val="4a86e8"/>
          <w:sz w:val="24"/>
          <w:szCs w:val="24"/>
          <w:u w:color="4a86e8"/>
          <w:rtl w:val="0"/>
          <w:lang w:val="de-DE"/>
          <w14:textFill>
            <w14:solidFill>
              <w14:srgbClr w14:val="4A86E8"/>
            </w14:solidFill>
          </w14:textFill>
        </w:rPr>
        <w:t>LINNIAGASSAT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  <w:lang w:val="it-IT"/>
        </w:rPr>
      </w:pPr>
      <w:r>
        <w:rPr>
          <w:rStyle w:val="Ingen"/>
          <w:rFonts w:ascii="Bookman Old Style" w:hAnsi="Bookman Old Style"/>
          <w:rtl w:val="0"/>
          <w:lang w:val="it-IT"/>
        </w:rPr>
        <w:t>atuartut iluliap qanoq pinngoriartortarneranik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iluliarsuit qalipaataannik ingerlaartarnerinillu immikkut ilisimasaqalissapput</w:t>
      </w:r>
    </w:p>
    <w:p>
      <w:pPr>
        <w:pStyle w:val="Brødtekst"/>
        <w:widowControl w:val="0"/>
        <w:numPr>
          <w:ilvl w:val="0"/>
          <w:numId w:val="2"/>
        </w:numPr>
        <w:bidi w:val="0"/>
        <w:spacing w:line="276" w:lineRule="auto"/>
        <w:ind w:right="0"/>
        <w:jc w:val="left"/>
        <w:rPr>
          <w:rFonts w:ascii="Bookman Old Style" w:hAnsi="Bookman Old Style"/>
          <w:rtl w:val="0"/>
        </w:rPr>
      </w:pPr>
      <w:r>
        <w:rPr>
          <w:rStyle w:val="Ingen"/>
          <w:rFonts w:ascii="Bookman Old Style" w:hAnsi="Bookman Old Style"/>
          <w:rtl w:val="0"/>
        </w:rPr>
        <w:t>atuartut pinngortitami pisunik paasinninnissamik paasisaminnillu nassuiaanermik suliaqassapput.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4a86e8"/>
          <w:u w:color="4a86e8"/>
          <w:rtl w:val="0"/>
          <w:lang w:val="es-ES_tradnl"/>
          <w14:textFill>
            <w14:solidFill>
              <w14:srgbClr w14:val="4A86E8"/>
            </w14:solidFill>
          </w14:textFill>
        </w:rPr>
        <w:t>ILITSERSUUT</w:t>
      </w:r>
      <w:r>
        <w:rPr>
          <w:rStyle w:val="Ingen"/>
          <w:rFonts w:ascii="Bookman Old Style" w:cs="Bookman Old Style" w:hAnsi="Bookman Old Style" w:eastAsia="Bookman Old Style"/>
          <w:outline w:val="0"/>
          <w:color w:val="4a86e8"/>
          <w:u w:color="4a86e8"/>
          <w14:textFill>
            <w14:solidFill>
              <w14:srgbClr w14:val="4A86E8"/>
            </w14:solidFill>
          </w14:textFill>
        </w:rPr>
        <w:br w:type="textWrapping"/>
      </w:r>
      <w:r>
        <w:rPr>
          <w:rStyle w:val="Ingen"/>
          <w:rFonts w:ascii="Bookman Old Style" w:hAnsi="Bookman Old Style"/>
          <w:rtl w:val="0"/>
        </w:rPr>
        <w:t>Atuartut saqqummersitsinermi ilisimasassarsiorlutik aallartissapput. Ilisimasassarsioreerpata sulisut innersuussinerat naapertorlugu naapiffissami katersuutsissavatit.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  <w:r>
        <w:rPr>
          <w:rStyle w:val="Ingen"/>
          <w:rFonts w:ascii="Bookman Old Style" w:hAnsi="Bookman Old Style"/>
          <w:rtl w:val="0"/>
        </w:rPr>
        <w:t xml:space="preserve">Saqqummersitsinerup sannaata qulaanit isigalugu titartarneqarnera eqqartussavarsi sikumerngillu </w:t>
      </w:r>
      <w:r>
        <w:rPr>
          <w:rStyle w:val="Ingen"/>
          <w:rFonts w:ascii="Bookman Old Style" w:hAnsi="Bookman Old Style"/>
          <w:i w:val="1"/>
          <w:iCs w:val="1"/>
          <w:rtl w:val="0"/>
        </w:rPr>
        <w:t>Iluliamik</w:t>
      </w:r>
      <w:r>
        <w:rPr>
          <w:rStyle w:val="Ingen"/>
          <w:rFonts w:ascii="Bookman Old Style" w:hAnsi="Bookman Old Style"/>
          <w:rtl w:val="0"/>
        </w:rPr>
        <w:t xml:space="preserve"> takutitsisut ujassavaat.</w:t>
      </w:r>
    </w:p>
    <w:p>
      <w:pPr>
        <w:pStyle w:val="Brødtekst"/>
        <w:widowControl w:val="0"/>
        <w:tabs>
          <w:tab w:val="left" w:pos="340"/>
        </w:tabs>
        <w:spacing w:line="276" w:lineRule="auto"/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peqatigalugit pappiaqqat tamaasa eqqartussavasi, taamaalillu</w:t>
      </w:r>
      <w:r>
        <w:rPr>
          <w:rStyle w:val="Ingen"/>
          <w:rFonts w:ascii="Bookman Old Style" w:hAnsi="Bookman Old Style"/>
          <w:rtl w:val="0"/>
        </w:rPr>
        <w:t>tik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suliassaq sunaanersoq </w:t>
      </w:r>
      <w:r>
        <w:rPr>
          <w:rStyle w:val="Ingen"/>
          <w:rFonts w:ascii="Bookman Old Style" w:hAnsi="Bookman Old Style"/>
          <w:rtl w:val="0"/>
        </w:rPr>
        <w:t>nalorngisaqannginniassammata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 Atuartut suli</w:t>
      </w:r>
      <w:r>
        <w:rPr>
          <w:rStyle w:val="Ingen"/>
          <w:rFonts w:ascii="Bookman Old Style" w:hAnsi="Bookman Old Style"/>
          <w:rtl w:val="0"/>
          <w:lang w:val="it-IT"/>
        </w:rPr>
        <w:t xml:space="preserve"> nammineq atuarsinnaanngitsut atuffatissavatit.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Pappiaqqap paasissutissap saavani naatsumik atuagassiaqarpoq kiisalu oqaatsip akuerineqaatissap atuartunit nassaariniarneranut nassuiaat. Naqinnerit tallimat atussavaat. Taakkulu nigalianit ataasiakkaanit pissarsiarissavaat. Naqinnerit taakku katitissavaat, taamaalilluni oqaaseq akuerineqaatissaq pilersillugu (Pilerfik).</w:t>
      </w:r>
    </w:p>
    <w:p>
      <w:pPr>
        <w:pStyle w:val="Overskrift"/>
        <w:numPr>
          <w:ilvl w:val="0"/>
          <w:numId w:val="4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Pappiaqqallu tunuani sikuminernut ataasiakkaanut tallimanut apeqqutit pingasut allassimapput kiisalu assit ataasiakkaat nalaanni  naqinnertalimmik nigaliaqarpoq.</w:t>
      </w:r>
    </w:p>
    <w:p>
      <w:pPr>
        <w:pStyle w:val="Overskrift"/>
        <w:numPr>
          <w:ilvl w:val="0"/>
          <w:numId w:val="5"/>
        </w:numPr>
        <w:bidi w:val="0"/>
        <w:spacing w:before="0"/>
        <w:ind w:right="0"/>
        <w:jc w:val="left"/>
        <w:rPr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bookmarkStart w:name="_headingh.xvqm8g8cx7xp" w:id="1"/>
      <w:bookmarkEnd w:id="1"/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Ingen"/>
          <w:rFonts w:ascii="Bookman Old Style" w:hAnsi="Bookman Old Style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appiaqqami akissutissanik allattuiffissami atuartut akissutiminnut atatillugu allattuinissaannut imaluunniit titartaanissaannut inissaqarpoq. </w:t>
      </w:r>
    </w:p>
    <w:p>
      <w:pPr>
        <w:pStyle w:val="Overskrift"/>
        <w:tabs>
          <w:tab w:val="right" w:pos="9356"/>
        </w:tabs>
        <w:spacing w:before="360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bookmarkStart w:name="_headingh.lbdnphnr5jxd" w:id="2"/>
      <w:bookmarkEnd w:id="2"/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Ingen"/>
          <w:rFonts w:ascii="Bookman Old Style" w:hAnsi="Bookman Old Style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igitalimik sulinissaq orniginartinneqarpat Kangiata Illorsuata ilikkagassanut isaaffia atorneqarsinnaavoq: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"https://isfjordscentret.gl/isfjeld-gymnasium-2/"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pulaarnermi atortussat</w:t>
      </w:r>
      <w:r>
        <w:rPr/>
        <w:fldChar w:fldCharType="end" w:fldLock="0"/>
      </w: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356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apeqqutit akissutissaannik suliaqalersinnagit sikumerngit misissoqqissaarnissaannik ilitsersuutissavatit. Tupigusuutigisaminnik apeqquteqarnissaannik kajumissaassava- tit. Atuartut marlukkaarlugit imaluunniit eqimattannguakkuutaarlugit agguarnissaat iluaqutaasinnaavoq.</w:t>
      </w:r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pbca4sytf7t" w:id="3"/>
      <w:bookmarkEnd w:id="3"/>
    </w:p>
    <w:p>
      <w:pPr>
        <w:pStyle w:val="Overskrift 2"/>
        <w:pBdr>
          <w:top w:val="nil"/>
          <w:left w:val="nil"/>
          <w:bottom w:val="dashed" w:color="002060" w:sz="4" w:space="0" w:shadow="0" w:frame="0"/>
          <w:right w:val="nil"/>
        </w:pBdr>
        <w:tabs>
          <w:tab w:val="right" w:pos="9356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</w:rPr>
      </w:pPr>
      <w:bookmarkStart w:name="_headingh.kkqkgvpov3vd" w:id="4"/>
      <w:bookmarkEnd w:id="4"/>
      <w:r>
        <w:rPr>
          <w:rStyle w:val="Ingen"/>
          <w:rFonts w:ascii="Bookman Old Style" w:hAnsi="Bookman Old Style"/>
          <w:rtl w:val="0"/>
        </w:rPr>
        <w:t>P</w:t>
      </w:r>
      <w:r>
        <w:rPr>
          <w:rStyle w:val="Ingen"/>
          <w:rFonts w:ascii="Bookman Old Style" w:hAnsi="Bookman Old Style"/>
          <w:rtl w:val="0"/>
        </w:rPr>
        <w:t>ulaarnerup nalaani/kingorna sikumerngit pillugit suliaqarnermi siunnersuutit</w:t>
      </w: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keepNext w:val="1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de-DE"/>
        </w:rPr>
        <w:t>NITTAALASSAT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8-1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Erngup molekylii nittaalassap pilerfianut qerillutik nippussuukkaangamik nittaalassaq pinngortarpoq. Nittaalassap ilusaata qanoq allangorarterineranut nuiami kissassuseq isugutassuserlu apeqqutaasarput.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oqaloqatigissavatit: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erngup molekylia pinngoqqaatinik sunik sananeqaateqarnersoq, kiisalu pinngoqqaatit taakku suni allani sananeqaataanersut ilisimaneraat. 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nittaalassat assigiinngitsorpassuarnik ilusillit siumorneqarsinnaaneri, quppernermi 12-17-mi annertunerusumik takuk.</w:t>
      </w:r>
    </w:p>
    <w:p>
      <w:pPr>
        <w:pStyle w:val="Brødtekst"/>
        <w:widowControl w:val="0"/>
        <w:numPr>
          <w:ilvl w:val="0"/>
          <w:numId w:val="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aputip qaamaneq takuneqarsinnaasoq qanoq akisuatittarneraa kiisalu tassunga atatillugu albedop sunniutaa qanoq sunniuteqartarnersoq.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SERMIP PINNGORIARTORTARNERA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20-23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Nittaalassat inngii aputip issutsikkiartornera ilutigalugu oqimassutsip annertusiartorneranik napisarput.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aputip 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>“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firn-inngortarnera</w:t>
      </w:r>
      <w:r>
        <w:rPr>
          <w:rStyle w:val="Ingen"/>
          <w:rFonts w:ascii="Bookman Old Style" w:hAnsi="Bookman Old Style" w:hint="default"/>
          <w:sz w:val="22"/>
          <w:szCs w:val="22"/>
          <w:rtl w:val="0"/>
          <w:lang w:val="en-US"/>
        </w:rPr>
        <w:t xml:space="preserve">”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sunaanersoq, tassa aputit ukioq ataaseq sinnerlugu pisoqaassusillip allanngoriartortarnera.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ningimarnga sunaanersoq</w:t>
      </w:r>
    </w:p>
    <w:p>
      <w:pPr>
        <w:pStyle w:val="Brødtekst"/>
        <w:widowControl w:val="0"/>
        <w:numPr>
          <w:ilvl w:val="0"/>
          <w:numId w:val="9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iigartarneq sunaanersoq.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ILULIAQ QANOQ ANGITIGIVA?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2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-33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Iluliarsuaq siumorneqaraangami taamaallat 10% nuisasarpoq, sinneralu immap iluaniittarluni. Iluliarsuup oqimaaqatigiissusiata qiterpiaa allanngorartuaannarpoq, taamaattumillu tassanngaannaq assallassinnaasarluni.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iluliarsuup 90% immap iluaniittarpoq tamaattumillu 10% kisiat takusinnaasarparput.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iluliarsuup oqimaaqatigiissusiata qiterpiaa sunaanersoq kiisalu sooq allanngortarnersoq.</w:t>
      </w:r>
    </w:p>
    <w:p>
      <w:pPr>
        <w:pStyle w:val="Brødtekst"/>
        <w:widowControl w:val="0"/>
        <w:numPr>
          <w:ilvl w:val="0"/>
          <w:numId w:val="11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qupperneq 32-mi nunap assinga sumik takutitsiva.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14:textFill>
            <w14:solidFill>
              <w14:srgbClr w14:val="002060"/>
            </w14:solidFill>
          </w14:textFill>
        </w:rPr>
        <w:t>ILULISSAT QALIPAATAAT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3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4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-39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Iluliarsuit assigiinngitsunik isikkoqarsinnaasarput. Iluliaq tungujortumik qalipaateqaraangami pisoqaanerusarpoq manngernerusarlunilu. Anarluit tassaasinnaapput titarniusallit sermeq apullu aannikoq sermeq quppaani qerilluni serminngorsimasoq.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oqaloqatigikkit: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sermimik ilisimatusarneq sermillu sunik nassataqarneranik ilisimasut sumut atorneqarsinnaaneri, assersuutigalugu sermersuaqarnerup nalaani.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sermip qalipaatai assigiinngitsut takusimasaat suunersut.</w:t>
      </w:r>
    </w:p>
    <w:p>
      <w:pPr>
        <w:pStyle w:val="Brødtekst"/>
        <w:widowControl w:val="0"/>
        <w:numPr>
          <w:ilvl w:val="0"/>
          <w:numId w:val="13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pullartat sermip qalipaataanik qanoq allanngortisinnaaneri.</w:t>
      </w:r>
    </w:p>
    <w:p>
      <w:pPr>
        <w:pStyle w:val="Brødtekst"/>
        <w:widowControl w:val="0"/>
        <w:tabs>
          <w:tab w:val="left" w:pos="340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outline w:val="0"/>
          <w:color w:val="002060"/>
          <w:sz w:val="22"/>
          <w:szCs w:val="22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after="120"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2060"/>
          <w:sz w:val="22"/>
          <w:szCs w:val="22"/>
          <w:u w:color="002060"/>
          <w:rtl w:val="0"/>
          <w:lang w:val="de-DE"/>
          <w14:textFill>
            <w14:solidFill>
              <w14:srgbClr w14:val="002060"/>
            </w14:solidFill>
          </w14:textFill>
        </w:rPr>
        <w:t>IIGARTARNEQ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2060"/>
          <w:sz w:val="22"/>
          <w:szCs w:val="22"/>
          <w:u w:val="none" w:color="002060"/>
          <w:shd w:val="nil" w:color="auto" w:fill="auto"/>
          <w:vertAlign w:val="baseline"/>
          <w:rtl w:val="0"/>
          <w14:textFill>
            <w14:solidFill>
              <w14:srgbClr w14:val="00206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              q.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 40-5</w:t>
      </w:r>
      <w:r>
        <w:rPr>
          <w:rStyle w:val="Ingen"/>
          <w:rFonts w:ascii="Bookman Old Style" w:hAnsi="Bookman Old Style"/>
          <w:sz w:val="22"/>
          <w:szCs w:val="22"/>
          <w:rtl w:val="0"/>
        </w:rPr>
        <w:t>5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Sermeq Kujalleq ullormut 70 tonsit missaanik iigartarpoq, taakkulu Ilulissat Kangiani ingerlaartarput. Nunarsup affaani avannarlermi sermit ningimarngisa sukkanersaraat.</w:t>
      </w: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widowControl w:val="0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Atuartut maku pillugit oqaloqatigikkit</w:t>
      </w:r>
      <w:r>
        <w:rPr>
          <w:rStyle w:val="Ingen"/>
          <w:rFonts w:ascii="Bookman Old Style" w:hAnsi="Bookman Old Style"/>
          <w:caps w:val="0"/>
          <w:smallCaps w:val="0"/>
          <w:strike w:val="0"/>
          <w:dstrike w:val="0"/>
          <w:outline w:val="0"/>
          <w:color w:val="000000"/>
          <w:sz w:val="22"/>
          <w:szCs w:val="22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it-IT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>silap allanngoriartornerata sermit ningimarngisa iigartarnerinik sunniuteqarnera.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sermersuaq sukkanerusumik aakkiartoraluarpat, tamanna nunarsuarmi immap qatsissusaanut qanoq sunniuteqassanersoq.</w:t>
      </w:r>
    </w:p>
    <w:p>
      <w:pPr>
        <w:pStyle w:val="Brødtekst"/>
        <w:widowControl w:val="0"/>
        <w:numPr>
          <w:ilvl w:val="0"/>
          <w:numId w:val="15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  <w:lang w:val="nl-NL"/>
        </w:rPr>
      </w:pPr>
      <w:r>
        <w:rPr>
          <w:rStyle w:val="Ingen"/>
          <w:rFonts w:ascii="Bookman Old Style" w:hAnsi="Bookman Old Style"/>
          <w:sz w:val="22"/>
          <w:szCs w:val="22"/>
          <w:rtl w:val="0"/>
          <w:lang w:val="nl-NL"/>
        </w:rPr>
        <w:t>sermip naqqani naqitsinerup pinngortartup sermillu ningimarngata ingerlaarneranut ataqatigiinnerat.</w:t>
      </w:r>
    </w:p>
    <w:p>
      <w:pPr>
        <w:pStyle w:val="Brødtekst"/>
        <w:widowControl w:val="0"/>
        <w:numPr>
          <w:ilvl w:val="0"/>
          <w:numId w:val="15"/>
        </w:numPr>
        <w:spacing w:line="276" w:lineRule="auto"/>
        <w:rPr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Overskrift 2"/>
        <w:keepNext w:val="0"/>
        <w:keepLines w:val="0"/>
        <w:widowControl w:val="1"/>
        <w:tabs>
          <w:tab w:val="right" w:pos="9612"/>
        </w:tabs>
        <w:spacing w:after="80" w:line="211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bookmarkStart w:name="_headingh.kfecqbw4t66h" w:id="5"/>
      <w:bookmarkEnd w:id="5"/>
      <w:r>
        <w:rPr>
          <w:rStyle w:val="Ingen"/>
          <w:rFonts w:ascii="Bookman Old Style" w:hAnsi="Bookman Old Style"/>
          <w:u w:val="single"/>
          <w:rtl w:val="0"/>
        </w:rPr>
        <w:t>P</w:t>
      </w:r>
      <w:r>
        <w:rPr>
          <w:rStyle w:val="Ingen"/>
          <w:rFonts w:ascii="Bookman Old Style" w:hAnsi="Bookman Old Style"/>
          <w:u w:val="single"/>
          <w:rtl w:val="0"/>
        </w:rPr>
        <w:t xml:space="preserve">ulaareernerup kingorna suliassatut siunnersuutit allat 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Klassimi ataatsimoorlusi inaarutaasumik eqikkaassaasi, atuartullu eqimattannguakkuutaarlutik akissutitik oqaluuserissavaat. Atuartut ataasiakkaat tamarmik akissutiminnik saqqummiussinissaat pingaaruteqarpoq. Eqimattat akissutit pitsaanerpaat toqqassavaat, taakkulu atuaqatiminnut tamanut tusarliutissavaat.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line="276" w:lineRule="auto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Pulaareernerup kingorna makuninga sammisaqarlusi sulinersi nangissinnaavarsi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silap kissatsikkiartornerata sermip ningimarnginik sunniisarnera</w:t>
      </w:r>
    </w:p>
    <w:p>
      <w:pPr>
        <w:pStyle w:val="Brødtekst"/>
        <w:numPr>
          <w:ilvl w:val="0"/>
          <w:numId w:val="17"/>
        </w:numPr>
        <w:bidi w:val="0"/>
        <w:spacing w:line="276" w:lineRule="auto"/>
        <w:ind w:right="0"/>
        <w:jc w:val="left"/>
        <w:rPr>
          <w:rFonts w:ascii="Bookman Old Style" w:hAnsi="Bookman Old Style"/>
          <w:sz w:val="22"/>
          <w:szCs w:val="22"/>
          <w:rtl w:val="0"/>
        </w:rPr>
      </w:pPr>
      <w:r>
        <w:rPr>
          <w:rStyle w:val="Ingen"/>
          <w:rFonts w:ascii="Bookman Old Style" w:hAnsi="Bookman Old Style"/>
          <w:sz w:val="22"/>
          <w:szCs w:val="22"/>
          <w:rtl w:val="0"/>
        </w:rPr>
        <w:t>erngup atortussiassatut nalituujunera</w:t>
      </w:r>
    </w:p>
    <w:p>
      <w:pPr>
        <w:pStyle w:val="Brødtekst"/>
        <w:tabs>
          <w:tab w:val="left" w:pos="340"/>
          <w:tab w:val="right" w:pos="9612"/>
        </w:tabs>
        <w:spacing w:line="276" w:lineRule="auto"/>
        <w:ind w:left="720" w:firstLine="0"/>
        <w:rPr>
          <w:rStyle w:val="Ingen"/>
          <w:rFonts w:ascii="Bookman Old Style" w:cs="Bookman Old Style" w:hAnsi="Bookman Old Style" w:eastAsia="Bookman Old Style"/>
          <w:sz w:val="22"/>
          <w:szCs w:val="22"/>
        </w:rPr>
      </w:pPr>
    </w:p>
    <w:p>
      <w:pPr>
        <w:pStyle w:val="Brødtekst"/>
        <w:tabs>
          <w:tab w:val="left" w:pos="340"/>
          <w:tab w:val="right" w:pos="9612"/>
        </w:tabs>
        <w:spacing w:after="160" w:line="259" w:lineRule="auto"/>
      </w:pPr>
      <w:r>
        <w:rPr>
          <w:rStyle w:val="Ingen"/>
          <w:rFonts w:ascii="Bookman Old Style" w:hAnsi="Bookman Old Style"/>
          <w:sz w:val="22"/>
          <w:szCs w:val="22"/>
          <w:rtl w:val="0"/>
          <w:lang w:val="it-IT"/>
        </w:rPr>
        <w:t xml:space="preserve">Kangiata Illorsuata ilinniagassanik isaaffiani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"https://isfjordscentret.gl/isfjeld-gymnasium-2/"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Iluliamut</w:t>
      </w:r>
      <w:r>
        <w:rPr/>
        <w:fldChar w:fldCharType="end" w:fldLock="0"/>
      </w:r>
      <w:r>
        <w:rPr>
          <w:rStyle w:val="Ingen"/>
          <w:rFonts w:ascii="Bookman Old Style" w:hAnsi="Bookman Old Style"/>
          <w:sz w:val="22"/>
          <w:szCs w:val="22"/>
          <w:rtl w:val="0"/>
        </w:rPr>
        <w:t xml:space="preserve"> atortussat amerlanerusut pissarsiarineqarsinnaapput.</w:t>
      </w:r>
      <w:r>
        <w:rPr>
          <w:rStyle w:val="Ingen"/>
          <w:rFonts w:ascii="Bradford LL" w:cs="Bradford LL" w:hAnsi="Bradford LL" w:eastAsia="Bradford LL"/>
          <w:sz w:val="22"/>
          <w:szCs w:val="22"/>
          <w:shd w:val="clear" w:color="auto" w:fill="00ff00"/>
        </w:rPr>
      </w:r>
      <w:bookmarkStart w:name="_headingh.gjdgxs"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ford LL">
    <w:charset w:val="00"/>
    <w:family w:val="roman"/>
    <w:pitch w:val="default"/>
  </w:font>
  <w:font w:name="Bradford LL Medium">
    <w:charset w:val="00"/>
    <w:family w:val="roman"/>
    <w:pitch w:val="default"/>
  </w:font>
  <w:font w:name="Calibri">
    <w:charset w:val="00"/>
    <w:family w:val="roman"/>
    <w:pitch w:val="default"/>
  </w:font>
  <w:font w:name="Bookman Old Styl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2"/>
  </w:abstractNum>
  <w:abstractNum w:abstractNumId="1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et format 1"/>
  </w:abstractNum>
  <w:abstractNum w:abstractNumId="3">
    <w:multiLevelType w:val="hybridMultilevel"/>
    <w:styleLink w:val="Importeret format 1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15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22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30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3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4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5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356"/>
        </w:tabs>
        <w:ind w:left="5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356"/>
        </w:tabs>
        <w:ind w:left="6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356"/>
        </w:tabs>
        <w:ind w:left="7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abstractNum w:abstractNumId="4">
    <w:multiLevelType w:val="hybridMultilevel"/>
    <w:numStyleLink w:val="Importeret format 2.0"/>
  </w:abstractNum>
  <w:abstractNum w:abstractNumId="5">
    <w:multiLevelType w:val="hybridMultilevel"/>
    <w:styleLink w:val="Importeret format 2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3"/>
  </w:abstractNum>
  <w:abstractNum w:abstractNumId="7">
    <w:multiLevelType w:val="hybridMultilevel"/>
    <w:styleLink w:val="Importeret format 3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4"/>
  </w:abstractNum>
  <w:abstractNum w:abstractNumId="9">
    <w:multiLevelType w:val="hybridMultilevel"/>
    <w:styleLink w:val="Importeret format 4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1.0"/>
  </w:abstractNum>
  <w:abstractNum w:abstractNumId="11">
    <w:multiLevelType w:val="hybridMultilevel"/>
    <w:styleLink w:val="Importeret format 1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3.0"/>
  </w:abstractNum>
  <w:abstractNum w:abstractNumId="13">
    <w:multiLevelType w:val="hybridMultilevel"/>
    <w:styleLink w:val="Importeret format 3.0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0"/>
        </w:tabs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0"/>
        </w:tabs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4.0"/>
  </w:abstractNum>
  <w:abstractNum w:abstractNumId="15">
    <w:multiLevelType w:val="hybridMultilevel"/>
    <w:styleLink w:val="Importeret format 4.0"/>
    <w:lvl w:ilvl="0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  <w:tab w:val="right" w:pos="961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  <w:tab w:val="right" w:pos="961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  <w:tab w:val="right" w:pos="9612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340"/>
            <w:tab w:val="right" w:pos="9356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○"/>
        <w:lvlJc w:val="left"/>
        <w:pPr>
          <w:tabs>
            <w:tab w:val="left" w:pos="340"/>
            <w:tab w:val="right" w:pos="9356"/>
          </w:tabs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■"/>
        <w:lvlJc w:val="left"/>
        <w:pPr>
          <w:tabs>
            <w:tab w:val="left" w:pos="340"/>
            <w:tab w:val="right" w:pos="9356"/>
          </w:tabs>
          <w:ind w:left="72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verskrift">
    <w:name w:val="Overskrift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240" w:after="0" w:line="276" w:lineRule="auto"/>
      <w:ind w:left="0" w:right="0" w:firstLine="0"/>
      <w:jc w:val="left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character" w:styleId="Ingen">
    <w:name w:val="Ingen"/>
  </w:style>
  <w:style w:type="character" w:styleId="Hyperlink.0">
    <w:name w:val="Hyperlink.0"/>
    <w:basedOn w:val="Ingen"/>
    <w:next w:val="Hyperlink.0"/>
    <w:rPr>
      <w:rFonts w:ascii="Bradford LL" w:cs="Bradford LL" w:hAnsi="Bradford LL" w:eastAsia="Bradford LL"/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Importeret format 2">
    <w:name w:val="Importeret format 2"/>
    <w:pPr>
      <w:numPr>
        <w:numId w:val="1"/>
      </w:numPr>
    </w:pPr>
  </w:style>
  <w:style w:type="numbering" w:styleId="Importeret format 1">
    <w:name w:val="Importeret format 1"/>
    <w:pPr>
      <w:numPr>
        <w:numId w:val="3"/>
      </w:numPr>
    </w:pPr>
  </w:style>
  <w:style w:type="paragraph" w:styleId="Overskrift 2">
    <w:name w:val="Overskrift 2"/>
    <w:next w:val="Brødtekst"/>
    <w:pPr>
      <w:keepNext w:val="1"/>
      <w:keepLines w:val="1"/>
      <w:pageBreakBefore w:val="0"/>
      <w:widowControl w:val="0"/>
      <w:shd w:val="clear" w:color="auto" w:fill="auto"/>
      <w:tabs>
        <w:tab w:val="left" w:pos="340"/>
      </w:tabs>
      <w:suppressAutoHyphens w:val="0"/>
      <w:bidi w:val="0"/>
      <w:spacing w:before="40" w:after="0" w:line="276" w:lineRule="auto"/>
      <w:ind w:left="0" w:right="0" w:firstLine="0"/>
      <w:jc w:val="left"/>
      <w:outlineLvl w:val="1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14:textOutline>
        <w14:noFill/>
      </w14:textOutline>
      <w14:textFill>
        <w14:solidFill>
          <w14:srgbClr w14:val="2F5496"/>
        </w14:solidFill>
      </w14:textFill>
    </w:rPr>
  </w:style>
  <w:style w:type="numbering" w:styleId="Importeret format 2.0">
    <w:name w:val="Importeret format 2.0"/>
    <w:pPr>
      <w:numPr>
        <w:numId w:val="6"/>
      </w:numPr>
    </w:pPr>
  </w:style>
  <w:style w:type="numbering" w:styleId="Importeret format 3">
    <w:name w:val="Importeret format 3"/>
    <w:pPr>
      <w:numPr>
        <w:numId w:val="8"/>
      </w:numPr>
    </w:pPr>
  </w:style>
  <w:style w:type="numbering" w:styleId="Importeret format 4">
    <w:name w:val="Importeret format 4"/>
    <w:pPr>
      <w:numPr>
        <w:numId w:val="10"/>
      </w:numPr>
    </w:pPr>
  </w:style>
  <w:style w:type="numbering" w:styleId="Importeret format 1.0">
    <w:name w:val="Importeret format 1.0"/>
    <w:pPr>
      <w:numPr>
        <w:numId w:val="12"/>
      </w:numPr>
    </w:pPr>
  </w:style>
  <w:style w:type="numbering" w:styleId="Importeret format 3.0">
    <w:name w:val="Importeret format 3.0"/>
    <w:pPr>
      <w:numPr>
        <w:numId w:val="14"/>
      </w:numPr>
    </w:pPr>
  </w:style>
  <w:style w:type="numbering" w:styleId="Importeret format 4.0">
    <w:name w:val="Importeret format 4.0"/>
    <w:pPr>
      <w:numPr>
        <w:numId w:val="16"/>
      </w:numPr>
    </w:p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