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A"/>
        <w:jc w:val="right"/>
      </w:pPr>
      <w:bookmarkStart w:name="_Hlk130807255" w:id="0"/>
      <w:r>
        <w:rPr>
          <w:i w:val="1"/>
          <w:iCs w:val="1"/>
          <w:outline w:val="0"/>
          <w:color w:val="002060"/>
          <w:u w:color="002060"/>
          <w:rtl w:val="0"/>
          <w:lang w:val="en-US"/>
          <w14:textFill>
            <w14:solidFill>
              <w14:srgbClr w14:val="002060"/>
            </w14:solidFill>
          </w14:textFill>
        </w:rPr>
        <w:t>Hunting and fishing in the Icefjord</w:t>
      </w:r>
      <w:r>
        <w:rPr>
          <w:rtl w:val="0"/>
        </w:rPr>
        <w:t xml:space="preserve"> </w:t>
      </w: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89534</wp:posOffset>
                </wp:positionH>
                <wp:positionV relativeFrom="page">
                  <wp:posOffset>542924</wp:posOffset>
                </wp:positionV>
                <wp:extent cx="1704978" cy="771530"/>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8" cy="771530"/>
                          <a:chOff x="0" y="-1"/>
                          <a:chExt cx="1704977" cy="771529"/>
                        </a:xfrm>
                      </wpg:grpSpPr>
                      <wps:wsp>
                        <wps:cNvPr id="1073741825" name="Shape 1073741825"/>
                        <wps:cNvSpPr/>
                        <wps:spPr>
                          <a:xfrm>
                            <a:off x="0" y="-2"/>
                            <a:ext cx="1704978" cy="771531"/>
                          </a:xfrm>
                          <a:prstGeom prst="ellipse">
                            <a:avLst/>
                          </a:prstGeom>
                          <a:solidFill>
                            <a:srgbClr val="0070C0"/>
                          </a:solidFill>
                          <a:ln w="12700" cap="flat">
                            <a:solidFill>
                              <a:srgbClr val="32538F"/>
                            </a:solidFill>
                            <a:prstDash val="solid"/>
                            <a:miter lim="800000"/>
                          </a:ln>
                          <a:effectLst/>
                        </wps:spPr>
                        <wps:bodyPr/>
                      </wps:wsp>
                      <wps:wsp>
                        <wps:cNvPr id="1073741826" name="Shape 1073741826"/>
                        <wps:cNvSpPr txBox="1"/>
                        <wps:spPr>
                          <a:xfrm>
                            <a:off x="301758" y="119336"/>
                            <a:ext cx="1101460" cy="532854"/>
                          </a:xfrm>
                          <a:prstGeom prst="rect">
                            <a:avLst/>
                          </a:prstGeom>
                          <a:noFill/>
                          <a:ln w="12700" cap="flat">
                            <a:noFill/>
                            <a:miter lim="400000"/>
                          </a:ln>
                          <a:effectLst/>
                        </wps:spPr>
                        <wps:txbx>
                          <w:txbxContent>
                            <w:p>
                              <w:pPr>
                                <w:pStyle w:val="Brødtekst A"/>
                              </w:pPr>
                              <w:r>
                                <w:rPr>
                                  <w:rtl w:val="0"/>
                                  <w:lang w:val="en-US"/>
                                </w:rPr>
                                <w:t>Teacher's guide</w:t>
                              </w:r>
                            </w:p>
                          </w:txbxContent>
                        </wps:txbx>
                        <wps:bodyPr wrap="square" lIns="45718" tIns="45718" rIns="45718" bIns="45718" numCol="1" anchor="ctr">
                          <a:noAutofit/>
                        </wps:bodyPr>
                      </wps:wsp>
                    </wpg:wgp>
                  </a:graphicData>
                </a:graphic>
              </wp:anchor>
            </w:drawing>
          </mc:Choice>
          <mc:Fallback>
            <w:pict>
              <v:group id="_x0000_s1026" style="visibility:visible;position:absolute;margin-left:7.0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1" coordsize="1704978,771530">
                <w10:wrap type="none" side="bothSides" anchorx="text" anchory="page"/>
                <v:oval id="_x0000_s1027" style="position:absolute;left:0;top:-1;width:1704978;height:771530;">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6;width:1101459;height:532853;">
                  <v:fill on="f"/>
                  <v:stroke on="f" weight="1.0pt" dashstyle="solid" endcap="flat" miterlimit="400.0%" joinstyle="miter" linestyle="single" startarrow="none" startarrowwidth="medium" startarrowlength="medium" endarrow="none" endarrowwidth="medium" endarrowlength="medium"/>
                  <v:textbox>
                    <w:txbxContent>
                      <w:p>
                        <w:pPr>
                          <w:pStyle w:val="Brødtekst A"/>
                        </w:pPr>
                        <w:r>
                          <w:rPr>
                            <w:rtl w:val="0"/>
                            <w:lang w:val="en-US"/>
                          </w:rPr>
                          <w:t>Teacher's guide</w:t>
                        </w:r>
                      </w:p>
                    </w:txbxContent>
                  </v:textbox>
                </v:shape>
              </v:group>
            </w:pict>
          </mc:Fallback>
        </mc:AlternateContent>
      </w:r>
      <w:r>
        <w:rPr>
          <w:b w:val="1"/>
          <w:bCs w:val="1"/>
          <w:rtl w:val="0"/>
        </w:rPr>
        <w:t xml:space="preserve"> </w:t>
      </w:r>
      <w:r>
        <w:rPr>
          <w:rtl w:val="0"/>
        </w:rPr>
        <w:t xml:space="preserve"> </w:t>
      </w:r>
      <w:bookmarkEnd w:id="0"/>
    </w:p>
    <w:p>
      <w:pPr>
        <w:pStyle w:val="Brødtekst A"/>
        <w:jc w:val="right"/>
      </w:pPr>
      <w:r>
        <w:rPr>
          <w:outline w:val="0"/>
          <w:color w:val="002060"/>
          <w:u w:color="002060"/>
          <w:rtl w:val="0"/>
          <w:lang w:val="en-US"/>
          <w14:textFill>
            <w14:solidFill>
              <w14:srgbClr w14:val="002060"/>
            </w14:solidFill>
          </w14:textFill>
        </w:rPr>
        <w:t>Intermediate level</w:t>
      </w:r>
      <w:r>
        <w:rPr>
          <w:rtl w:val="0"/>
        </w:rPr>
        <w:t xml:space="preserve"> </w:t>
      </w:r>
    </w:p>
    <w:p>
      <w:pPr>
        <w:pStyle w:val="Brødtekst A"/>
      </w:pPr>
    </w:p>
    <w:p>
      <w:pPr>
        <w:pStyle w:val="heading 1"/>
      </w:pPr>
    </w:p>
    <w:p>
      <w:pPr>
        <w:pStyle w:val="heading 1"/>
      </w:pPr>
      <w:r>
        <w:rPr>
          <w:rFonts w:cs="Arial Unicode MS" w:eastAsia="Arial Unicode MS"/>
          <w:rtl w:val="0"/>
          <w:lang w:val="en-US"/>
        </w:rPr>
        <w:t>ABOUT THE VISITOR</w:t>
      </w:r>
      <w:r>
        <w:rPr>
          <w:rFonts w:cs="Arial Unicode MS" w:eastAsia="Arial Unicode MS" w:hint="default"/>
          <w:rtl w:val="0"/>
          <w:lang w:val="en-US"/>
        </w:rPr>
        <w:t>’</w:t>
      </w:r>
      <w:r>
        <w:rPr>
          <w:rFonts w:cs="Arial Unicode MS" w:eastAsia="Arial Unicode MS"/>
          <w:rtl w:val="0"/>
          <w:lang w:val="en-US"/>
        </w:rPr>
        <w:t>S MATERIAL</w:t>
      </w:r>
    </w:p>
    <w:p>
      <w:pPr>
        <w:pStyle w:val="Brødtekst A"/>
      </w:pPr>
      <w:r>
        <w:rPr>
          <w:rtl w:val="0"/>
          <w:lang w:val="en-US"/>
        </w:rPr>
        <w:t xml:space="preserve">The material is handed out at the counter. You can also print it out yourself and prepare the students before visiting: </w:t>
      </w:r>
      <w:r>
        <w:rPr>
          <w:rStyle w:val="Hyperlink.0"/>
        </w:rPr>
        <w:fldChar w:fldCharType="begin" w:fldLock="0"/>
      </w:r>
      <w:r>
        <w:rPr>
          <w:rStyle w:val="Hyperlink.0"/>
        </w:rPr>
        <w:instrText xml:space="preserve"> HYPERLINK "https://isfjordscentret.gl/en/hunting-and-fishing-in-the-icefjord-intermediate-level/"</w:instrText>
      </w:r>
      <w:r>
        <w:rPr>
          <w:rStyle w:val="Hyperlink.0"/>
        </w:rPr>
        <w:fldChar w:fldCharType="separate" w:fldLock="0"/>
      </w:r>
      <w:r>
        <w:rPr>
          <w:rStyle w:val="Hyperlink.0"/>
          <w:rtl w:val="0"/>
          <w:lang w:val="it-IT"/>
        </w:rPr>
        <w:t>visitor</w:t>
      </w:r>
      <w:r>
        <w:rPr>
          <w:rStyle w:val="Ingen"/>
          <w:rFonts w:ascii="Arial Unicode MS" w:hAnsi="Arial Unicode MS" w:hint="default"/>
          <w:outline w:val="0"/>
          <w:color w:val="0563c1"/>
          <w:u w:val="single" w:color="0563c1"/>
          <w:rtl w:val="1"/>
          <w14:textFill>
            <w14:solidFill>
              <w14:srgbClr w14:val="0563C1"/>
            </w14:solidFill>
          </w14:textFill>
        </w:rPr>
        <w:t>’</w:t>
      </w:r>
      <w:r>
        <w:rPr>
          <w:rStyle w:val="Ingen"/>
          <w:outline w:val="0"/>
          <w:color w:val="0563c1"/>
          <w:u w:val="single" w:color="0563c1"/>
          <w:rtl w:val="0"/>
          <w:lang w:val="en-US"/>
          <w14:textFill>
            <w14:solidFill>
              <w14:srgbClr w14:val="0563C1"/>
            </w14:solidFill>
          </w14:textFill>
        </w:rPr>
        <w:t xml:space="preserve">s material </w:t>
      </w:r>
      <w:r>
        <w:rPr/>
        <w:fldChar w:fldCharType="end" w:fldLock="0"/>
      </w:r>
    </w:p>
    <w:p>
      <w:pPr>
        <w:pStyle w:val="Brødtekst A"/>
      </w:pPr>
    </w:p>
    <w:p>
      <w:pPr>
        <w:pStyle w:val="Brødtekst A"/>
      </w:pPr>
      <w:r>
        <w:rPr>
          <w:rStyle w:val="Ingen"/>
          <w:rtl w:val="0"/>
          <w:lang w:val="en-US"/>
        </w:rPr>
        <w:t xml:space="preserve">It consists of </w:t>
      </w:r>
    </w:p>
    <w:p>
      <w:pPr>
        <w:pStyle w:val="List Paragraph"/>
        <w:numPr>
          <w:ilvl w:val="0"/>
          <w:numId w:val="2"/>
        </w:numPr>
        <w:bidi w:val="0"/>
        <w:ind w:right="0"/>
        <w:jc w:val="left"/>
        <w:rPr>
          <w:rtl w:val="0"/>
          <w:lang w:val="en-US"/>
        </w:rPr>
      </w:pPr>
      <w:r>
        <w:rPr>
          <w:rStyle w:val="Ingen"/>
          <w:rtl w:val="0"/>
          <w:lang w:val="en-US"/>
        </w:rPr>
        <w:t>a ground plan of the exhibition</w:t>
      </w:r>
    </w:p>
    <w:p>
      <w:pPr>
        <w:pStyle w:val="List Paragraph"/>
        <w:numPr>
          <w:ilvl w:val="0"/>
          <w:numId w:val="2"/>
        </w:numPr>
        <w:bidi w:val="0"/>
        <w:ind w:right="0"/>
        <w:jc w:val="left"/>
        <w:rPr>
          <w:rtl w:val="0"/>
          <w:lang w:val="en-US"/>
        </w:rPr>
      </w:pPr>
      <w:r>
        <w:rPr>
          <w:rStyle w:val="Ingen"/>
          <w:rtl w:val="0"/>
          <w:lang w:val="en-US"/>
        </w:rPr>
        <w:t>an info sheet and an answer sheet for the students</w:t>
      </w:r>
    </w:p>
    <w:p>
      <w:pPr>
        <w:pStyle w:val="Brødtekst A"/>
      </w:pPr>
      <w:r>
        <w:rPr>
          <w:rStyle w:val="Ingen"/>
          <w:rtl w:val="0"/>
          <w:lang w:val="en-US"/>
        </w:rPr>
        <w:t xml:space="preserve">Page references are to the book placed at the topic </w:t>
      </w:r>
      <w:r>
        <w:rPr>
          <w:rStyle w:val="Ingen"/>
          <w:rtl w:val="0"/>
        </w:rPr>
        <w:t xml:space="preserve">– </w:t>
      </w:r>
      <w:r>
        <w:rPr>
          <w:rStyle w:val="Ingen"/>
          <w:rtl w:val="0"/>
          <w:lang w:val="en-US"/>
        </w:rPr>
        <w:t xml:space="preserve">in this case: </w:t>
      </w:r>
      <w:r>
        <w:rPr>
          <w:rStyle w:val="Hyperlink.1"/>
        </w:rPr>
        <w:fldChar w:fldCharType="begin" w:fldLock="0"/>
      </w:r>
      <w:r>
        <w:rPr>
          <w:rStyle w:val="Hyperlink.1"/>
        </w:rPr>
        <w:instrText xml:space="preserve"> HYPERLINK "https://isfjordscentret.gl/wp-content/uploads/2022/10/Fangst_final.pdf"</w:instrText>
      </w:r>
      <w:r>
        <w:rPr>
          <w:rStyle w:val="Hyperlink.1"/>
        </w:rPr>
        <w:fldChar w:fldCharType="separate" w:fldLock="0"/>
      </w:r>
      <w:r>
        <w:rPr>
          <w:rStyle w:val="Hyperlink.1"/>
          <w:rtl w:val="0"/>
          <w:lang w:val="en-US"/>
        </w:rPr>
        <w:t>Hunting and fishing ...</w:t>
      </w:r>
      <w:r>
        <w:rPr/>
        <w:fldChar w:fldCharType="end" w:fldLock="0"/>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SUBJECTS AND COMPETENCES</w:t>
      </w:r>
    </w:p>
    <w:p>
      <w:pPr>
        <w:pStyle w:val="Brødtekst A"/>
      </w:pPr>
      <w:r>
        <w:rPr>
          <w:rStyle w:val="Ingen"/>
          <w:rtl w:val="0"/>
          <w:lang w:val="en-US"/>
        </w:rPr>
        <w:t>Science, observation and communication</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LEARNING OBJECTIVES</w:t>
      </w:r>
    </w:p>
    <w:p>
      <w:pPr>
        <w:pStyle w:val="heading 1"/>
        <w:numPr>
          <w:ilvl w:val="0"/>
          <w:numId w:val="4"/>
        </w:numPr>
        <w:bidi w:val="0"/>
        <w:spacing w:before="0"/>
        <w:ind w:right="0"/>
        <w:jc w:val="left"/>
        <w:rPr>
          <w:outline w:val="0"/>
          <w:color w:val="000000"/>
          <w:sz w:val="22"/>
          <w:szCs w:val="22"/>
          <w:rtl w:val="0"/>
          <w:lang w:val="en-US"/>
          <w14:textFill>
            <w14:solidFill>
              <w14:srgbClr w14:val="000000"/>
            </w14:solidFill>
          </w14:textFill>
        </w:rPr>
      </w:pPr>
      <w:r>
        <w:rPr>
          <w:rStyle w:val="Ingen"/>
          <w:outline w:val="0"/>
          <w:color w:val="000000"/>
          <w:sz w:val="22"/>
          <w:szCs w:val="22"/>
          <w:u w:color="000000"/>
          <w:rtl w:val="0"/>
          <w:lang w:val="en-US"/>
          <w14:textFill>
            <w14:solidFill>
              <w14:srgbClr w14:val="000000"/>
            </w14:solidFill>
          </w14:textFill>
        </w:rPr>
        <w:t>the students gain knowledge about fishing and hunting methods that are several hundred years old, methods still in use, but with more modern equipment.</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rStyle w:val="Ingen"/>
          <w:i w:val="0"/>
          <w:iCs w:val="0"/>
          <w:outline w:val="0"/>
          <w:color w:val="000000"/>
          <w:sz w:val="22"/>
          <w:szCs w:val="22"/>
          <w:u w:color="000000"/>
          <w:rtl w:val="0"/>
          <w:lang w:val="en-US"/>
          <w14:textFill>
            <w14:solidFill>
              <w14:srgbClr w14:val="000000"/>
            </w14:solidFill>
          </w14:textFill>
        </w:rPr>
        <w:t>they acquire a special knowledge of Inuit</w:t>
      </w:r>
      <w:r>
        <w:rPr>
          <w:rStyle w:val="Ingen"/>
          <w:i w:val="0"/>
          <w:iCs w:val="0"/>
          <w:outline w:val="0"/>
          <w:color w:val="000000"/>
          <w:sz w:val="22"/>
          <w:szCs w:val="22"/>
          <w:u w:color="000000"/>
          <w:rtl w:val="0"/>
          <w:lang w:val="en-US"/>
          <w14:textFill>
            <w14:solidFill>
              <w14:srgbClr w14:val="000000"/>
            </w14:solidFill>
          </w14:textFill>
        </w:rPr>
        <w:t>’</w:t>
      </w:r>
      <w:r>
        <w:rPr>
          <w:rStyle w:val="Ingen"/>
          <w:i w:val="0"/>
          <w:iCs w:val="0"/>
          <w:outline w:val="0"/>
          <w:color w:val="000000"/>
          <w:sz w:val="22"/>
          <w:szCs w:val="22"/>
          <w:u w:color="000000"/>
          <w:rtl w:val="0"/>
          <w:lang w:val="en-US"/>
          <w14:textFill>
            <w14:solidFill>
              <w14:srgbClr w14:val="000000"/>
            </w14:solidFill>
          </w14:textFill>
        </w:rPr>
        <w:t xml:space="preserve">s original religion, including the role and status of the shaman, and the legend of </w:t>
      </w:r>
      <w:r>
        <w:rPr>
          <w:rStyle w:val="Ingen"/>
          <w:i w:val="1"/>
          <w:iCs w:val="1"/>
          <w:outline w:val="0"/>
          <w:color w:val="000000"/>
          <w:sz w:val="22"/>
          <w:szCs w:val="22"/>
          <w:u w:color="000000"/>
          <w:rtl w:val="0"/>
          <w:lang w:val="en-US"/>
          <w14:textFill>
            <w14:solidFill>
              <w14:srgbClr w14:val="000000"/>
            </w14:solidFill>
          </w14:textFill>
        </w:rPr>
        <w:t>The Mother of the Sea.</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rStyle w:val="Ingen"/>
          <w:i w:val="0"/>
          <w:iCs w:val="0"/>
          <w:outline w:val="0"/>
          <w:color w:val="000000"/>
          <w:sz w:val="22"/>
          <w:szCs w:val="22"/>
          <w:u w:color="000000"/>
          <w:rtl w:val="0"/>
          <w:lang w:val="en-US"/>
          <w14:textFill>
            <w14:solidFill>
              <w14:srgbClr w14:val="000000"/>
            </w14:solidFill>
          </w14:textFill>
        </w:rPr>
        <w:t>they get an understanding of what fishing means for life at the Icefjord.</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GUIDELINES</w:t>
      </w:r>
    </w:p>
    <w:p>
      <w:pPr>
        <w:pStyle w:val="Brødtekst A"/>
      </w:pPr>
      <w:r>
        <w:rPr>
          <w:rStyle w:val="Ingen"/>
          <w:rtl w:val="0"/>
          <w:lang w:val="en-US"/>
        </w:rPr>
        <w:t>First let the students explore the exhibition on their own. Then gather them in the area shown by the staff.</w:t>
      </w:r>
    </w:p>
    <w:p>
      <w:pPr>
        <w:pStyle w:val="Brødtekst A"/>
      </w:pPr>
      <w:r>
        <w:rPr>
          <w:rStyle w:val="Ingen"/>
          <w:rtl w:val="0"/>
          <w:lang w:val="en-US"/>
        </w:rPr>
        <w:t xml:space="preserve">Explain the ground plan and let them find the ice floes that represent </w:t>
      </w:r>
      <w:r>
        <w:rPr>
          <w:rStyle w:val="Ingen"/>
          <w:i w:val="1"/>
          <w:iCs w:val="1"/>
          <w:rtl w:val="0"/>
          <w:lang w:val="en-US"/>
        </w:rPr>
        <w:t>Hunting and fishing in the Icefjord.</w:t>
      </w:r>
    </w:p>
    <w:p>
      <w:pPr>
        <w:pStyle w:val="Brødtekst A"/>
        <w:spacing w:before="120"/>
      </w:pPr>
      <w:r>
        <w:rPr>
          <w:rStyle w:val="Ingen"/>
          <w:rtl w:val="0"/>
          <w:lang w:val="en-US"/>
        </w:rPr>
        <w:t>Give an instruction for the sheets.</w:t>
      </w:r>
    </w:p>
    <w:p>
      <w:pPr>
        <w:pStyle w:val="List Paragraph"/>
        <w:numPr>
          <w:ilvl w:val="0"/>
          <w:numId w:val="6"/>
        </w:numPr>
        <w:bidi w:val="0"/>
        <w:ind w:right="0"/>
        <w:jc w:val="left"/>
        <w:rPr>
          <w:rtl w:val="0"/>
          <w:lang w:val="en-US"/>
        </w:rPr>
      </w:pPr>
      <w:r>
        <w:rPr>
          <w:rStyle w:val="Ingen"/>
          <w:rtl w:val="0"/>
          <w:lang w:val="en-US"/>
        </w:rPr>
        <w:t>On the face of the info sheet is a short text for the students. On the back are two questions for each of the five ice floes. Next to each image is a circle with a letter in it. These letters must be combined to form a word, the name of an animal (whale).</w:t>
      </w:r>
    </w:p>
    <w:p>
      <w:pPr>
        <w:pStyle w:val="List Paragraph"/>
        <w:numPr>
          <w:ilvl w:val="0"/>
          <w:numId w:val="6"/>
        </w:numPr>
        <w:bidi w:val="0"/>
        <w:ind w:right="0"/>
        <w:jc w:val="left"/>
        <w:rPr>
          <w:rtl w:val="0"/>
          <w:lang w:val="en-US"/>
        </w:rPr>
      </w:pPr>
      <w:r>
        <w:rPr>
          <w:rStyle w:val="Ingen"/>
          <w:rtl w:val="0"/>
          <w:lang w:val="en-US"/>
        </w:rPr>
        <w:t xml:space="preserve">On the answer sheet the students can write or draw their answers. </w:t>
      </w:r>
    </w:p>
    <w:p>
      <w:pPr>
        <w:pStyle w:val="Brødtekst A"/>
        <w:spacing w:before="120"/>
      </w:pPr>
      <w:r>
        <w:rPr>
          <w:rStyle w:val="Ingen"/>
          <w:rtl w:val="0"/>
          <w:lang w:val="en-US"/>
        </w:rPr>
        <w:t>If you prefer to work digitally, you can find the material on the Icefjord Centre's learning platform:</w:t>
      </w:r>
    </w:p>
    <w:p>
      <w:pPr>
        <w:pStyle w:val="Brødtekst A"/>
      </w:pPr>
      <w:r>
        <w:rPr>
          <w:rStyle w:val="Hyperlink.0"/>
        </w:rPr>
        <w:fldChar w:fldCharType="begin" w:fldLock="0"/>
      </w:r>
      <w:r>
        <w:rPr>
          <w:rStyle w:val="Hyperlink.0"/>
        </w:rPr>
        <w:instrText xml:space="preserve"> HYPERLINK "https://isfjordscentret.gl/en/hunting-and-fishing-in-the-icefjord-intermediate-level/"</w:instrText>
      </w:r>
      <w:r>
        <w:rPr>
          <w:rStyle w:val="Hyperlink.0"/>
        </w:rPr>
        <w:fldChar w:fldCharType="separate" w:fldLock="0"/>
      </w:r>
      <w:r>
        <w:rPr>
          <w:rStyle w:val="Hyperlink.0"/>
          <w:rtl w:val="0"/>
          <w:lang w:val="it-IT"/>
        </w:rPr>
        <w:t>visitor</w:t>
      </w:r>
      <w:r>
        <w:rPr>
          <w:rStyle w:val="Ingen"/>
          <w:rFonts w:ascii="Arial Unicode MS" w:hAnsi="Arial Unicode MS" w:hint="default"/>
          <w:outline w:val="0"/>
          <w:color w:val="0563c1"/>
          <w:u w:val="single" w:color="0563c1"/>
          <w:rtl w:val="1"/>
          <w14:textFill>
            <w14:solidFill>
              <w14:srgbClr w14:val="0563C1"/>
            </w14:solidFill>
          </w14:textFill>
        </w:rPr>
        <w:t>’</w:t>
      </w:r>
      <w:r>
        <w:rPr>
          <w:rStyle w:val="Ingen"/>
          <w:outline w:val="0"/>
          <w:color w:val="0563c1"/>
          <w:u w:val="single" w:color="0563c1"/>
          <w:rtl w:val="0"/>
          <w:lang w:val="en-US"/>
          <w14:textFill>
            <w14:solidFill>
              <w14:srgbClr w14:val="0563C1"/>
            </w14:solidFill>
          </w14:textFill>
        </w:rPr>
        <w:t>s material</w:t>
      </w:r>
      <w:r>
        <w:rPr/>
        <w:fldChar w:fldCharType="end" w:fldLock="0"/>
      </w:r>
    </w:p>
    <w:p>
      <w:pPr>
        <w:pStyle w:val="Brødtekst A"/>
      </w:pPr>
    </w:p>
    <w:p>
      <w:pPr>
        <w:pStyle w:val="Brødtekst A"/>
      </w:pPr>
      <w:r>
        <w:rPr>
          <w:rStyle w:val="Ingen"/>
          <w:rtl w:val="0"/>
          <w:lang w:val="en-US"/>
        </w:rPr>
        <w:t>Now let the students go to</w:t>
      </w:r>
      <w:r>
        <w:rPr>
          <w:rStyle w:val="Ingen"/>
          <w:rtl w:val="0"/>
          <w:lang w:val="da-DK"/>
        </w:rPr>
        <w:t xml:space="preserve"> </w:t>
      </w:r>
      <w:r>
        <w:rPr>
          <w:rStyle w:val="Ingen"/>
          <w:rtl w:val="0"/>
          <w:lang w:val="en-US"/>
        </w:rPr>
        <w:t xml:space="preserve">the ice floes that represent </w:t>
      </w:r>
      <w:r>
        <w:rPr>
          <w:rStyle w:val="Ingen"/>
          <w:i w:val="1"/>
          <w:iCs w:val="1"/>
          <w:rtl w:val="0"/>
          <w:lang w:val="en-US"/>
        </w:rPr>
        <w:t>Hunting and fishing in the Icefjord</w:t>
      </w:r>
      <w:r>
        <w:rPr>
          <w:rStyle w:val="Ingen"/>
          <w:rtl w:val="0"/>
          <w:lang w:val="en-US"/>
        </w:rPr>
        <w:t>. Instruct them to study the ice floes carefully before they start answering the questions.  Encourage them to come up with questions of wonder.  Organize the students in pairs or in small groups.</w:t>
      </w:r>
    </w:p>
    <w:p>
      <w:pPr>
        <w:pStyle w:val="Brødtekst A"/>
      </w:pPr>
    </w:p>
    <w:p>
      <w:pPr>
        <w:pStyle w:val="heading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Suggestions for working with the ice floes during/after the visit</w:t>
      </w:r>
    </w:p>
    <w:p>
      <w:pPr>
        <w:pStyle w:val="Bradford"/>
        <w:keepNext w:val="1"/>
      </w:pPr>
    </w:p>
    <w:p>
      <w:pPr>
        <w:pStyle w:val="Bradford"/>
        <w:keepNext w:val="1"/>
        <w:tabs>
          <w:tab w:val="left" w:pos="5670"/>
          <w:tab w:val="right" w:pos="9356"/>
        </w:tabs>
        <w:rPr>
          <w:rStyle w:val="Ingen"/>
          <w:rFonts w:ascii="Bookman Old Style" w:cs="Bookman Old Style" w:hAnsi="Bookman Old Style" w:eastAsia="Bookman Old Style"/>
        </w:rPr>
      </w:pPr>
      <w:r>
        <w:rPr>
          <w:rStyle w:val="Ingen"/>
          <w:outline w:val="0"/>
          <w:color w:val="2f5496"/>
          <w:sz w:val="24"/>
          <w:szCs w:val="24"/>
          <w:u w:color="2f5496"/>
          <w:rtl w:val="0"/>
          <w:lang w:val="en-US"/>
          <w14:textFill>
            <w14:solidFill>
              <w14:srgbClr w14:val="2F5496"/>
            </w14:solidFill>
          </w14:textFill>
        </w:rPr>
        <w:t>HALIBUT FISHING</w:t>
      </w:r>
      <w:r>
        <w:rPr>
          <w:rStyle w:val="Ingen"/>
          <w:rtl w:val="0"/>
        </w:rPr>
        <w:tab/>
        <w:t xml:space="preserve"> </w:t>
        <w:tab/>
        <w:t>p. 8-21</w:t>
      </w:r>
    </w:p>
    <w:p>
      <w:pPr>
        <w:pStyle w:val="Bradford"/>
        <w:keepNext w:val="1"/>
      </w:pPr>
      <w:r>
        <w:rPr>
          <w:rStyle w:val="Ingen"/>
          <w:rtl w:val="0"/>
          <w:lang w:val="en-US"/>
        </w:rPr>
        <w:t>In the ice floe you see a man fishing with a longline from the sea ice. A method used by Inuit to catch halibut for more than 300 years.</w:t>
      </w:r>
    </w:p>
    <w:p>
      <w:pPr>
        <w:pStyle w:val="Bradford"/>
      </w:pPr>
    </w:p>
    <w:p>
      <w:pPr>
        <w:pStyle w:val="Bradford"/>
      </w:pPr>
      <w:r>
        <w:rPr>
          <w:rStyle w:val="Ingen"/>
          <w:rFonts w:cs="Arial Unicode MS" w:eastAsia="Arial Unicode MS"/>
          <w:rtl w:val="0"/>
          <w:lang w:val="en-US"/>
        </w:rPr>
        <w:t>Subjects for discussion with the students:</w:t>
      </w:r>
    </w:p>
    <w:p>
      <w:pPr>
        <w:pStyle w:val="Bradford"/>
        <w:numPr>
          <w:ilvl w:val="0"/>
          <w:numId w:val="8"/>
        </w:numPr>
        <w:bidi w:val="0"/>
        <w:ind w:right="0"/>
        <w:jc w:val="left"/>
        <w:rPr>
          <w:rtl w:val="0"/>
          <w:lang w:val="en-US"/>
        </w:rPr>
      </w:pPr>
      <w:r>
        <w:rPr>
          <w:rStyle w:val="Ingen"/>
          <w:rtl w:val="0"/>
          <w:lang w:val="en-US"/>
        </w:rPr>
        <w:t xml:space="preserve">that for more than 300 years halibut have been caught from the sea ice with longlines, using hooks made from whalebone </w:t>
      </w:r>
      <w:r>
        <w:rPr>
          <w:rStyle w:val="Ingen"/>
          <w:rtl w:val="0"/>
          <w:lang w:val="en-US"/>
        </w:rPr>
        <w:t xml:space="preserve">– </w:t>
      </w:r>
      <w:r>
        <w:rPr>
          <w:rStyle w:val="Ingen"/>
          <w:rtl w:val="0"/>
          <w:lang w:val="en-US"/>
        </w:rPr>
        <w:t xml:space="preserve">and that the method today is the same, just with </w:t>
      </w:r>
      <w:r>
        <w:rPr>
          <w:rStyle w:val="Ingen"/>
          <w:rtl w:val="0"/>
          <w:lang w:val="en-US"/>
        </w:rPr>
        <w:t>“</w:t>
      </w:r>
      <w:r>
        <w:rPr>
          <w:rStyle w:val="Ingen"/>
          <w:rtl w:val="0"/>
          <w:lang w:val="en-US"/>
        </w:rPr>
        <w:t>gliders</w:t>
      </w:r>
      <w:r>
        <w:rPr>
          <w:rStyle w:val="Ingen"/>
          <w:rtl w:val="0"/>
          <w:lang w:val="en-US"/>
        </w:rPr>
        <w:t xml:space="preserve">” </w:t>
      </w:r>
      <w:r>
        <w:rPr>
          <w:rStyle w:val="Ingen"/>
          <w:rtl w:val="0"/>
          <w:lang w:val="en-US"/>
        </w:rPr>
        <w:t>and hooks of metal.</w:t>
      </w:r>
    </w:p>
    <w:p>
      <w:pPr>
        <w:pStyle w:val="Bradford"/>
        <w:numPr>
          <w:ilvl w:val="0"/>
          <w:numId w:val="8"/>
        </w:numPr>
        <w:bidi w:val="0"/>
        <w:ind w:right="0"/>
        <w:jc w:val="left"/>
        <w:rPr>
          <w:rtl w:val="0"/>
          <w:lang w:val="en-US"/>
        </w:rPr>
      </w:pPr>
      <w:r>
        <w:rPr>
          <w:rStyle w:val="Ingen"/>
          <w:rtl w:val="0"/>
          <w:lang w:val="en-US"/>
        </w:rPr>
        <w:t xml:space="preserve">what they see in the picture on the face of the info sheet or p. 12-13 in the book </w:t>
      </w:r>
      <w:r>
        <w:rPr>
          <w:rStyle w:val="Ingen"/>
          <w:rtl w:val="0"/>
          <w:lang w:val="en-US"/>
        </w:rPr>
        <w:t xml:space="preserve">– </w:t>
      </w:r>
      <w:r>
        <w:rPr>
          <w:rStyle w:val="Ingen"/>
          <w:rtl w:val="0"/>
          <w:lang w:val="en-US"/>
        </w:rPr>
        <w:t>compare with pictures of modern fishing on p. 19-21.</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SEAL HUNTING</w:t>
      </w:r>
      <w:r>
        <w:rPr>
          <w:rStyle w:val="Ingen"/>
          <w:rtl w:val="0"/>
        </w:rPr>
        <w:tab/>
        <w:tab/>
        <w:t>p. 22-33</w:t>
      </w:r>
    </w:p>
    <w:p>
      <w:pPr>
        <w:pStyle w:val="Bradford"/>
      </w:pPr>
      <w:r>
        <w:rPr>
          <w:rStyle w:val="Ingen"/>
          <w:rFonts w:cs="Arial Unicode MS" w:eastAsia="Arial Unicode MS"/>
          <w:rtl w:val="0"/>
          <w:lang w:val="en-US"/>
        </w:rPr>
        <w:t>In the icefloe a hunter is seen with his kayak and harpoon, ready for the summer hunt. The Saqqaq people, who lived at the Icefjord in the period 2500-800 BC, used an early version of the kayak and the harpoon in the summertime. Tools and vessels developed a lot around 1200 when Inuit/the Thule people arrived, and have not changed significantly since then.</w:t>
      </w:r>
    </w:p>
    <w:p>
      <w:pPr>
        <w:pStyle w:val="Bradford"/>
      </w:pPr>
    </w:p>
    <w:p>
      <w:pPr>
        <w:pStyle w:val="Bradford"/>
      </w:pPr>
      <w:r>
        <w:rPr>
          <w:rStyle w:val="Ingen"/>
          <w:rFonts w:cs="Arial Unicode MS" w:eastAsia="Arial Unicode MS"/>
          <w:rtl w:val="0"/>
          <w:lang w:val="en-US"/>
        </w:rPr>
        <w:t>Subjects for discussion with the students:</w:t>
      </w:r>
    </w:p>
    <w:p>
      <w:pPr>
        <w:pStyle w:val="Bradford"/>
        <w:numPr>
          <w:ilvl w:val="0"/>
          <w:numId w:val="10"/>
        </w:numPr>
        <w:bidi w:val="0"/>
        <w:ind w:right="0"/>
        <w:jc w:val="left"/>
        <w:rPr>
          <w:rtl w:val="0"/>
          <w:lang w:val="en-US"/>
        </w:rPr>
      </w:pPr>
      <w:r>
        <w:rPr>
          <w:rStyle w:val="Ingen"/>
          <w:rtl w:val="0"/>
          <w:lang w:val="en-US"/>
        </w:rPr>
        <w:t>that Inuit developed the kayak into the form we know today</w:t>
      </w:r>
    </w:p>
    <w:p>
      <w:pPr>
        <w:pStyle w:val="Bradford"/>
        <w:numPr>
          <w:ilvl w:val="0"/>
          <w:numId w:val="10"/>
        </w:numPr>
        <w:bidi w:val="0"/>
        <w:ind w:right="0"/>
        <w:jc w:val="left"/>
        <w:rPr>
          <w:rtl w:val="0"/>
          <w:lang w:val="en-US"/>
        </w:rPr>
      </w:pPr>
      <w:r>
        <w:rPr>
          <w:rStyle w:val="Ingen"/>
          <w:rtl w:val="0"/>
          <w:lang w:val="en-US"/>
        </w:rPr>
        <w:t>the difference between summer and winter hunting</w:t>
      </w:r>
    </w:p>
    <w:p>
      <w:pPr>
        <w:pStyle w:val="Bradford"/>
        <w:numPr>
          <w:ilvl w:val="0"/>
          <w:numId w:val="10"/>
        </w:numPr>
        <w:bidi w:val="0"/>
        <w:ind w:right="0"/>
        <w:jc w:val="left"/>
        <w:rPr>
          <w:rtl w:val="0"/>
          <w:lang w:val="en-US"/>
        </w:rPr>
      </w:pPr>
      <w:r>
        <w:rPr>
          <w:rStyle w:val="Ingen"/>
          <w:rtl w:val="0"/>
          <w:lang w:val="en-US"/>
        </w:rPr>
        <w:t>that the kayak has been replaced with dinghies and motorboats</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WHALE HUNTING</w:t>
      </w:r>
      <w:r>
        <w:rPr>
          <w:rStyle w:val="Ingen"/>
          <w:rtl w:val="0"/>
          <w:lang w:val="en-US"/>
        </w:rPr>
        <w:t xml:space="preserve"> </w:t>
        <w:tab/>
        <w:tab/>
        <w:t>p. 34-45</w:t>
      </w:r>
    </w:p>
    <w:p>
      <w:pPr>
        <w:pStyle w:val="Bradford"/>
      </w:pPr>
      <w:r>
        <w:rPr>
          <w:rStyle w:val="Ingen"/>
          <w:rFonts w:cs="Arial Unicode MS" w:eastAsia="Arial Unicode MS"/>
          <w:rtl w:val="0"/>
          <w:lang w:val="en-US"/>
        </w:rPr>
        <w:t>In the ice floe you see a whale. Whales were to Inuit an important part of their food. The meat and blubber could secure survival of the settlement a whole winter. The whales were caught from umiaks. Usually these boats were rowed by women, but during whale hunting they were rowed by men. Since the 1920s more modern boat types have been used.</w:t>
      </w:r>
    </w:p>
    <w:p>
      <w:pPr>
        <w:pStyle w:val="Bradford"/>
      </w:pPr>
    </w:p>
    <w:p>
      <w:pPr>
        <w:pStyle w:val="Bradford"/>
      </w:pPr>
      <w:r>
        <w:rPr>
          <w:rStyle w:val="Ingen"/>
          <w:rFonts w:cs="Arial Unicode MS" w:eastAsia="Arial Unicode MS"/>
          <w:rtl w:val="0"/>
          <w:lang w:val="en-US"/>
        </w:rPr>
        <w:t>Subjects for discussion:</w:t>
      </w:r>
    </w:p>
    <w:p>
      <w:pPr>
        <w:pStyle w:val="Bradford"/>
        <w:numPr>
          <w:ilvl w:val="0"/>
          <w:numId w:val="12"/>
        </w:numPr>
        <w:bidi w:val="0"/>
        <w:ind w:right="0"/>
        <w:jc w:val="left"/>
        <w:rPr>
          <w:rtl w:val="0"/>
          <w:lang w:val="en-US"/>
        </w:rPr>
      </w:pPr>
      <w:r>
        <w:rPr>
          <w:rStyle w:val="Ingen"/>
          <w:rtl w:val="0"/>
          <w:lang w:val="en-US"/>
        </w:rPr>
        <w:t>their guess of what species of whale is in the ice floe</w:t>
      </w:r>
    </w:p>
    <w:p>
      <w:pPr>
        <w:pStyle w:val="Bradford"/>
        <w:numPr>
          <w:ilvl w:val="0"/>
          <w:numId w:val="12"/>
        </w:numPr>
        <w:bidi w:val="0"/>
        <w:ind w:right="0"/>
        <w:jc w:val="left"/>
        <w:rPr>
          <w:rtl w:val="0"/>
          <w:lang w:val="en-US"/>
        </w:rPr>
      </w:pPr>
      <w:r>
        <w:rPr>
          <w:rStyle w:val="Ingen"/>
          <w:rtl w:val="0"/>
          <w:lang w:val="en-US"/>
        </w:rPr>
        <w:t>the details in the picture on p. 37 in the book</w:t>
      </w:r>
    </w:p>
    <w:p>
      <w:pPr>
        <w:pStyle w:val="Bradford"/>
        <w:numPr>
          <w:ilvl w:val="0"/>
          <w:numId w:val="12"/>
        </w:numPr>
        <w:bidi w:val="0"/>
        <w:ind w:right="0"/>
        <w:jc w:val="left"/>
        <w:rPr>
          <w:rtl w:val="0"/>
          <w:lang w:val="en-US"/>
        </w:rPr>
      </w:pPr>
      <w:r>
        <w:rPr>
          <w:rStyle w:val="Ingen"/>
          <w:rtl w:val="0"/>
          <w:lang w:val="en-US"/>
        </w:rPr>
        <w:t>the whale</w:t>
      </w:r>
      <w:r>
        <w:rPr>
          <w:rStyle w:val="Ingen"/>
          <w:rtl w:val="0"/>
          <w:lang w:val="en-US"/>
        </w:rPr>
        <w:t>’</w:t>
      </w:r>
      <w:r>
        <w:rPr>
          <w:rStyle w:val="Ingen"/>
          <w:rtl w:val="0"/>
          <w:lang w:val="en-US"/>
        </w:rPr>
        <w:t>s importance for the survival of Inuit</w:t>
      </w:r>
    </w:p>
    <w:p>
      <w:pPr>
        <w:pStyle w:val="Bradford"/>
        <w:numPr>
          <w:ilvl w:val="0"/>
          <w:numId w:val="12"/>
        </w:numPr>
        <w:bidi w:val="0"/>
        <w:ind w:right="0"/>
        <w:jc w:val="left"/>
        <w:rPr>
          <w:rtl w:val="0"/>
          <w:lang w:val="en-US"/>
        </w:rPr>
      </w:pPr>
      <w:r>
        <w:rPr>
          <w:rStyle w:val="Ingen"/>
          <w:rtl w:val="0"/>
          <w:lang w:val="en-US"/>
        </w:rPr>
        <w:t>what whales have been used for, besides food</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 xml:space="preserve">THE SHAMAN </w:t>
      </w:r>
      <w:r>
        <w:rPr>
          <w:rStyle w:val="Ingen"/>
          <w:outline w:val="0"/>
          <w:color w:val="2f5496"/>
          <w:sz w:val="24"/>
          <w:szCs w:val="24"/>
          <w:u w:color="2f5496"/>
          <w:rtl w:val="0"/>
          <w:lang w:val="en-US"/>
          <w14:textFill>
            <w14:solidFill>
              <w14:srgbClr w14:val="2F5496"/>
            </w14:solidFill>
          </w14:textFill>
        </w:rPr>
        <w:t xml:space="preserve">– </w:t>
      </w:r>
      <w:r>
        <w:rPr>
          <w:rStyle w:val="Ingen"/>
          <w:outline w:val="0"/>
          <w:color w:val="2f5496"/>
          <w:sz w:val="24"/>
          <w:szCs w:val="24"/>
          <w:u w:color="2f5496"/>
          <w:rtl w:val="0"/>
          <w:lang w:val="en-US"/>
          <w14:textFill>
            <w14:solidFill>
              <w14:srgbClr w14:val="2F5496"/>
            </w14:solidFill>
          </w14:textFill>
        </w:rPr>
        <w:t>NATURE AND HUMANS</w:t>
      </w:r>
      <w:r>
        <w:rPr>
          <w:rStyle w:val="Ingen"/>
          <w:rtl w:val="0"/>
          <w:lang w:val="en-US"/>
        </w:rPr>
        <w:t xml:space="preserve"> </w:t>
        <w:tab/>
        <w:tab/>
        <w:t>p. 46-53</w:t>
      </w:r>
    </w:p>
    <w:p>
      <w:pPr>
        <w:pStyle w:val="Bradford"/>
      </w:pPr>
      <w:r>
        <w:rPr>
          <w:rStyle w:val="Ingen"/>
          <w:rFonts w:cs="Arial Unicode MS" w:eastAsia="Arial Unicode MS"/>
          <w:rtl w:val="0"/>
          <w:lang w:val="en-US"/>
        </w:rPr>
        <w:t xml:space="preserve">In the ice floe an animation is showing </w:t>
      </w:r>
      <w:r>
        <w:rPr>
          <w:rStyle w:val="Ingen"/>
          <w:rFonts w:cs="Arial Unicode MS" w:eastAsia="Arial Unicode MS"/>
          <w:i w:val="1"/>
          <w:iCs w:val="1"/>
          <w:rtl w:val="0"/>
          <w:lang w:val="en-US"/>
        </w:rPr>
        <w:t>The shaman</w:t>
      </w:r>
      <w:r>
        <w:rPr>
          <w:rStyle w:val="Ingen"/>
          <w:rFonts w:cs="Arial Unicode MS" w:eastAsia="Arial Unicode MS" w:hint="default"/>
          <w:i w:val="1"/>
          <w:iCs w:val="1"/>
          <w:rtl w:val="0"/>
          <w:lang w:val="en-US"/>
        </w:rPr>
        <w:t>’</w:t>
      </w:r>
      <w:r>
        <w:rPr>
          <w:rStyle w:val="Ingen"/>
          <w:rFonts w:cs="Arial Unicode MS" w:eastAsia="Arial Unicode MS"/>
          <w:i w:val="1"/>
          <w:iCs w:val="1"/>
          <w:rtl w:val="0"/>
          <w:lang w:val="en-US"/>
        </w:rPr>
        <w:t>s journey to the Mother of the Sea</w:t>
      </w:r>
      <w:r>
        <w:rPr>
          <w:rStyle w:val="Ingen"/>
          <w:rFonts w:cs="Arial Unicode MS" w:eastAsia="Arial Unicode MS"/>
          <w:rtl w:val="0"/>
          <w:lang w:val="en-US"/>
        </w:rPr>
        <w:t xml:space="preserve">. It is the story of how the shaman with his magic liberates the game animals caught in the hair of </w:t>
      </w:r>
      <w:r>
        <w:rPr>
          <w:rStyle w:val="Hyperlink.2"/>
        </w:rPr>
        <w:fldChar w:fldCharType="begin" w:fldLock="0"/>
      </w:r>
      <w:r>
        <w:rPr>
          <w:rStyle w:val="Hyperlink.2"/>
        </w:rPr>
        <w:instrText xml:space="preserve"> HYPERLINK "https://visitgreenland.com/about-greenland/legend-mother-sea/"</w:instrText>
      </w:r>
      <w:r>
        <w:rPr>
          <w:rStyle w:val="Hyperlink.2"/>
        </w:rPr>
        <w:fldChar w:fldCharType="separate" w:fldLock="0"/>
      </w:r>
      <w:r>
        <w:rPr>
          <w:rStyle w:val="Hyperlink.2"/>
          <w:rFonts w:cs="Arial Unicode MS" w:eastAsia="Arial Unicode MS"/>
          <w:rtl w:val="0"/>
        </w:rPr>
        <w:t>The Mother of the Sea</w:t>
      </w:r>
      <w:r>
        <w:rPr/>
        <w:fldChar w:fldCharType="end" w:fldLock="0"/>
      </w:r>
      <w:r>
        <w:rPr>
          <w:rStyle w:val="Ingen"/>
          <w:rFonts w:cs="Arial Unicode MS" w:eastAsia="Arial Unicode MS"/>
          <w:i w:val="1"/>
          <w:iCs w:val="1"/>
          <w:rtl w:val="0"/>
          <w:lang w:val="en-US"/>
        </w:rPr>
        <w:t xml:space="preserve">.  </w:t>
      </w:r>
      <w:r>
        <w:rPr>
          <w:rStyle w:val="Ingen"/>
          <w:rFonts w:cs="Arial Unicode MS" w:eastAsia="Arial Unicode MS"/>
          <w:rtl w:val="0"/>
          <w:lang w:val="en-US"/>
        </w:rPr>
        <w:t xml:space="preserve">In short: </w:t>
      </w:r>
      <w:r>
        <w:rPr>
          <w:rStyle w:val="Ingen"/>
          <w:rFonts w:cs="Arial Unicode MS" w:eastAsia="Arial Unicode MS" w:hint="default"/>
          <w:rtl w:val="0"/>
          <w:lang w:val="en-US"/>
        </w:rPr>
        <w:t>“</w:t>
      </w:r>
      <w:r>
        <w:rPr>
          <w:rStyle w:val="Ingen"/>
          <w:rFonts w:cs="Arial Unicode MS" w:eastAsia="Arial Unicode MS"/>
          <w:rtl w:val="0"/>
          <w:lang w:val="en-US"/>
        </w:rPr>
        <w:t>When the whale hunt failed, it was thought that this was due to misdeeds committed by people, and as punishment the Mother of the Sea held the game animals back in her matted hair.</w:t>
      </w:r>
      <w:r>
        <w:rPr>
          <w:rStyle w:val="Ingen"/>
          <w:rFonts w:cs="Arial Unicode MS" w:eastAsia="Arial Unicode MS" w:hint="default"/>
          <w:rtl w:val="0"/>
          <w:lang w:val="en-US"/>
        </w:rPr>
        <w:t xml:space="preserve">” </w:t>
      </w:r>
      <w:r>
        <w:rPr>
          <w:rStyle w:val="Ingen"/>
          <w:rFonts w:cs="Arial Unicode MS" w:eastAsia="Arial Unicode MS"/>
          <w:rtl w:val="0"/>
          <w:lang w:val="en-US"/>
        </w:rPr>
        <w:t>See p. 50.</w:t>
      </w:r>
    </w:p>
    <w:p>
      <w:pPr>
        <w:pStyle w:val="Bradford"/>
      </w:pPr>
    </w:p>
    <w:p>
      <w:pPr>
        <w:pStyle w:val="Bradford"/>
      </w:pPr>
      <w:r>
        <w:rPr>
          <w:rStyle w:val="Ingen"/>
          <w:rFonts w:cs="Arial Unicode MS" w:eastAsia="Arial Unicode MS"/>
          <w:rtl w:val="0"/>
          <w:lang w:val="en-US"/>
        </w:rPr>
        <w:t>Subjects for discussion:</w:t>
      </w:r>
    </w:p>
    <w:p>
      <w:pPr>
        <w:pStyle w:val="Bradford"/>
        <w:numPr>
          <w:ilvl w:val="0"/>
          <w:numId w:val="14"/>
        </w:numPr>
        <w:bidi w:val="0"/>
        <w:ind w:right="0"/>
        <w:jc w:val="left"/>
        <w:rPr>
          <w:rtl w:val="0"/>
          <w:lang w:val="en-US"/>
        </w:rPr>
      </w:pPr>
      <w:r>
        <w:rPr>
          <w:rStyle w:val="Ingen"/>
          <w:rtl w:val="0"/>
          <w:lang w:val="en-US"/>
        </w:rPr>
        <w:t xml:space="preserve">what they have seen in the animation. If they do not know the legend of </w:t>
      </w:r>
      <w:r>
        <w:rPr>
          <w:rStyle w:val="Ingen"/>
          <w:i w:val="1"/>
          <w:iCs w:val="1"/>
          <w:rtl w:val="0"/>
          <w:lang w:val="en-US"/>
        </w:rPr>
        <w:t>The Mother of the Sea</w:t>
      </w:r>
      <w:r>
        <w:rPr>
          <w:rStyle w:val="Ingen"/>
          <w:rtl w:val="0"/>
          <w:lang w:val="en-US"/>
        </w:rPr>
        <w:t>, they can read about it at p. 50 in the book.</w:t>
      </w:r>
    </w:p>
    <w:p>
      <w:pPr>
        <w:pStyle w:val="Bradford"/>
        <w:numPr>
          <w:ilvl w:val="0"/>
          <w:numId w:val="14"/>
        </w:numPr>
        <w:bidi w:val="0"/>
        <w:ind w:right="0"/>
        <w:jc w:val="left"/>
        <w:rPr>
          <w:rtl w:val="0"/>
          <w:lang w:val="en-US"/>
        </w:rPr>
      </w:pPr>
      <w:r>
        <w:rPr>
          <w:rStyle w:val="Ingen"/>
          <w:rtl w:val="0"/>
          <w:lang w:val="en-US"/>
        </w:rPr>
        <w:t>that the shaman, angakkuq, was the link between the physical world and the spiritual world</w:t>
      </w:r>
    </w:p>
    <w:p>
      <w:pPr>
        <w:pStyle w:val="Bradford"/>
        <w:numPr>
          <w:ilvl w:val="0"/>
          <w:numId w:val="14"/>
        </w:numPr>
        <w:bidi w:val="0"/>
        <w:ind w:right="0"/>
        <w:jc w:val="left"/>
        <w:rPr>
          <w:rtl w:val="0"/>
          <w:lang w:val="en-US"/>
        </w:rPr>
      </w:pPr>
      <w:r>
        <w:rPr>
          <w:rStyle w:val="Ingen"/>
          <w:rtl w:val="0"/>
          <w:lang w:val="en-US"/>
        </w:rPr>
        <w:t>the implements the shaman used in his travels to the spiritual world</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PREPARATIONS FOR THE HUNT</w:t>
      </w:r>
      <w:r>
        <w:rPr>
          <w:rStyle w:val="Ingen"/>
          <w:rtl w:val="0"/>
          <w:lang w:val="en-US"/>
        </w:rPr>
        <w:t xml:space="preserve"> </w:t>
        <w:tab/>
        <w:tab/>
        <w:t>p. 54-59</w:t>
      </w:r>
    </w:p>
    <w:p>
      <w:pPr>
        <w:pStyle w:val="Brødtekst A"/>
      </w:pPr>
      <w:r>
        <w:rPr>
          <w:rStyle w:val="Ingen"/>
          <w:rtl w:val="0"/>
          <w:lang w:val="en-US"/>
        </w:rPr>
        <w:t>In the ice floe you see a model in soapstone of a woman cleaning a seal skin. Inuit were dependent on the powers and forces of nature, and so it was important for the hunters to maintain good relations with the souls of the game animals. This they did by respecting taboos, performing rituals and other customs.</w:t>
      </w:r>
    </w:p>
    <w:p>
      <w:pPr>
        <w:pStyle w:val="Brødtekst A"/>
      </w:pPr>
    </w:p>
    <w:p>
      <w:pPr>
        <w:pStyle w:val="Brødtekst A"/>
      </w:pPr>
      <w:r>
        <w:rPr>
          <w:rStyle w:val="Ingen"/>
          <w:rtl w:val="0"/>
          <w:lang w:val="da-DK"/>
        </w:rPr>
        <w:t>Subjects for discussion:</w:t>
      </w:r>
    </w:p>
    <w:p>
      <w:pPr>
        <w:pStyle w:val="List Paragraph"/>
        <w:numPr>
          <w:ilvl w:val="0"/>
          <w:numId w:val="16"/>
        </w:numPr>
        <w:bidi w:val="0"/>
        <w:ind w:right="0"/>
        <w:jc w:val="left"/>
        <w:rPr>
          <w:rtl w:val="0"/>
          <w:lang w:val="en-US"/>
        </w:rPr>
      </w:pPr>
      <w:r>
        <w:rPr>
          <w:rStyle w:val="Ingen"/>
          <w:rtl w:val="0"/>
          <w:lang w:val="en-US"/>
        </w:rPr>
        <w:t>what tool the women used to scrape off the layer fat from the inside of the skin</w:t>
      </w:r>
    </w:p>
    <w:p>
      <w:pPr>
        <w:pStyle w:val="List Paragraph"/>
        <w:numPr>
          <w:ilvl w:val="0"/>
          <w:numId w:val="16"/>
        </w:numPr>
        <w:bidi w:val="0"/>
        <w:ind w:right="0"/>
        <w:jc w:val="left"/>
        <w:rPr>
          <w:rtl w:val="0"/>
          <w:lang w:val="en-US"/>
        </w:rPr>
      </w:pPr>
      <w:r>
        <w:rPr>
          <w:rStyle w:val="Ingen"/>
          <w:rtl w:val="0"/>
          <w:lang w:val="en-US"/>
        </w:rPr>
        <w:t>how did Inuit, the ancestors of the Greenlanders, prepare to have a successful hunt?</w:t>
      </w:r>
    </w:p>
    <w:p>
      <w:pPr>
        <w:pStyle w:val="List Paragraph"/>
        <w:numPr>
          <w:ilvl w:val="0"/>
          <w:numId w:val="16"/>
        </w:numPr>
        <w:bidi w:val="0"/>
        <w:ind w:right="0"/>
        <w:jc w:val="left"/>
        <w:rPr>
          <w:rtl w:val="0"/>
          <w:lang w:val="en-US"/>
        </w:rPr>
      </w:pPr>
      <w:r>
        <w:rPr>
          <w:rStyle w:val="Ingen"/>
          <w:rtl w:val="0"/>
          <w:lang w:val="en-US"/>
        </w:rPr>
        <w:t>if they know any rituals from their own everyday life</w:t>
      </w:r>
    </w:p>
    <w:p>
      <w:pPr>
        <w:pStyle w:val="List Paragraph"/>
        <w:numPr>
          <w:ilvl w:val="0"/>
          <w:numId w:val="16"/>
        </w:numPr>
        <w:bidi w:val="0"/>
        <w:ind w:right="0"/>
        <w:jc w:val="left"/>
        <w:rPr>
          <w:rtl w:val="0"/>
          <w:lang w:val="en-US"/>
        </w:rPr>
      </w:pPr>
      <w:r>
        <w:rPr>
          <w:rStyle w:val="Ingen"/>
          <w:rtl w:val="0"/>
          <w:lang w:val="en-US"/>
        </w:rPr>
        <w:t>that a walrus claw contains some of the walrus</w:t>
      </w:r>
      <w:r>
        <w:rPr>
          <w:rStyle w:val="Ingen"/>
          <w:rtl w:val="0"/>
          <w:lang w:val="en-US"/>
        </w:rPr>
        <w:t>’</w:t>
      </w:r>
      <w:r>
        <w:rPr>
          <w:rStyle w:val="Ingen"/>
          <w:rtl w:val="0"/>
          <w:lang w:val="en-US"/>
        </w:rPr>
        <w:t xml:space="preserve">s </w:t>
      </w:r>
      <w:r>
        <w:rPr>
          <w:rStyle w:val="Ingen"/>
          <w:i w:val="1"/>
          <w:iCs w:val="1"/>
          <w:rtl w:val="0"/>
          <w:lang w:val="en-US"/>
        </w:rPr>
        <w:t>inua</w:t>
      </w:r>
      <w:r>
        <w:rPr>
          <w:rStyle w:val="Ingen"/>
          <w:rtl w:val="0"/>
          <w:lang w:val="en-US"/>
        </w:rPr>
        <w:t>, and in this way the power and qualities of the walrus are transferred to the person who carries the claw</w:t>
      </w:r>
    </w:p>
    <w:p>
      <w:pPr>
        <w:pStyle w:val="Brødtekst A"/>
      </w:pPr>
    </w:p>
    <w:p>
      <w:pPr>
        <w:pStyle w:val="heading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 xml:space="preserve">Further suggestions for work after the visit </w:t>
      </w:r>
    </w:p>
    <w:p>
      <w:pPr>
        <w:pStyle w:val="Brødtekst A"/>
      </w:pPr>
    </w:p>
    <w:p>
      <w:pPr>
        <w:pStyle w:val="Brødtekst A"/>
      </w:pPr>
      <w:r>
        <w:rPr>
          <w:rStyle w:val="Ingen"/>
          <w:rtl w:val="0"/>
          <w:lang w:val="en-US"/>
        </w:rPr>
        <w:t>Hold a review in class and have the students talk about their answers in small groups.  It is important that each student comes up with his or her answer. The group selects the best answers, which are shared with the whole class.</w:t>
      </w:r>
    </w:p>
    <w:p>
      <w:pPr>
        <w:pStyle w:val="Brødtekst A"/>
      </w:pPr>
    </w:p>
    <w:p>
      <w:pPr>
        <w:pStyle w:val="Brødtekst A"/>
      </w:pPr>
      <w:r>
        <w:rPr>
          <w:rStyle w:val="Ingen"/>
          <w:rtl w:val="0"/>
          <w:lang w:val="en-US"/>
        </w:rPr>
        <w:t>Continue working with hunting and fishing in Greenland, past and present, with basis in the text and illustrations in the book.</w:t>
      </w:r>
    </w:p>
    <w:p>
      <w:pPr>
        <w:pStyle w:val="Brødtekst A"/>
      </w:pPr>
    </w:p>
    <w:p>
      <w:pPr>
        <w:pStyle w:val="Brødtekst A"/>
      </w:pPr>
      <w:r>
        <w:rPr>
          <w:rStyle w:val="Ingen"/>
          <w:rtl w:val="0"/>
          <w:lang w:val="en-US"/>
        </w:rPr>
        <w:t xml:space="preserve">On the learning platform of the Icefjord Centre you will find additional material for </w:t>
      </w:r>
      <w:r>
        <w:rPr>
          <w:rStyle w:val="Hyperlink.3"/>
        </w:rPr>
        <w:fldChar w:fldCharType="begin" w:fldLock="0"/>
      </w:r>
      <w:r>
        <w:rPr>
          <w:rStyle w:val="Hyperlink.3"/>
        </w:rPr>
        <w:instrText xml:space="preserve"> HYPERLINK "https://isfjordscentret.gl/en/hunting-and-fishing-in-the-icefjord-intermediate-level/"</w:instrText>
      </w:r>
      <w:r>
        <w:rPr>
          <w:rStyle w:val="Hyperlink.3"/>
        </w:rPr>
        <w:fldChar w:fldCharType="separate" w:fldLock="0"/>
      </w:r>
      <w:r>
        <w:rPr>
          <w:rStyle w:val="Hyperlink.3"/>
          <w:rtl w:val="0"/>
          <w:lang w:val="en-US"/>
        </w:rPr>
        <w:t>Hunting and fishing in the Icefjord</w:t>
      </w:r>
      <w:r>
        <w:rPr/>
        <w:fldChar w:fldCharType="end" w:fldLock="0"/>
      </w:r>
      <w:r>
        <w:rPr>
          <w:rStyle w:val="Ingen"/>
          <w:i w:val="1"/>
          <w:iCs w:val="1"/>
          <w:outline w:val="0"/>
          <w:color w:val="002060"/>
          <w:u w:color="002060"/>
          <w:rtl w:val="0"/>
          <w14:textFill>
            <w14:solidFill>
              <w14:srgbClr w14:val="002060"/>
            </w14:solidFill>
          </w14:textFill>
        </w:rPr>
        <w:t>.</w:t>
      </w:r>
      <w:r>
        <w:rPr>
          <w:rStyle w:val="Ingen"/>
          <w:i w:val="1"/>
          <w:iCs w:val="1"/>
          <w:rtl w:val="0"/>
        </w:rPr>
        <w:t xml:space="preserve"> </w:t>
      </w:r>
    </w:p>
    <w:sectPr>
      <w:headerReference w:type="default" r:id="rId4"/>
      <w:footerReference w:type="default" r:id="rId5"/>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ookman Old Style">
    <w:charset w:val="00"/>
    <w:family w:val="roman"/>
    <w:pitch w:val="default"/>
  </w:font>
  <w:font w:name="Calibri Light">
    <w:charset w:val="00"/>
    <w:family w:val="roman"/>
    <w:pitch w:val="default"/>
  </w:font>
  <w:font w:name="Bradford LL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A">
    <w:name w:val="Brødtekst A"/>
    <w:next w:val="Brødtekst A"/>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1">
    <w:name w:val="heading 1"/>
    <w:next w:val="Brødtekst A"/>
    <w:pPr>
      <w:keepNext w:val="1"/>
      <w:keepLines w:val="1"/>
      <w:pageBreakBefore w:val="0"/>
      <w:widowControl w:val="0"/>
      <w:shd w:val="clear" w:color="auto" w:fill="auto"/>
      <w:tabs>
        <w:tab w:val="left" w:pos="340"/>
      </w:tabs>
      <w:suppressAutoHyphens w:val="1"/>
      <w:bidi w:val="0"/>
      <w:spacing w:before="240" w:after="0" w:line="276" w:lineRule="auto"/>
      <w:ind w:left="0" w:right="0" w:firstLine="0"/>
      <w:jc w:val="left"/>
      <w:outlineLvl w:val="0"/>
    </w:pPr>
    <w:rPr>
      <w:rFonts w:ascii="Bradford LL" w:cs="Bradford LL" w:hAnsi="Bradford LL" w:eastAsia="Bradford LL"/>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character" w:styleId="Ingen">
    <w:name w:val="Ingen"/>
  </w:style>
  <w:style w:type="character" w:styleId="Hyperlink.0">
    <w:name w:val="Hyperlink.0"/>
    <w:basedOn w:val="Ingen"/>
    <w:next w:val="Hyperlink.0"/>
    <w:rPr>
      <w:outline w:val="0"/>
      <w:color w:val="0563c1"/>
      <w:u w:val="single" w:color="0563c1"/>
      <w:lang w:val="it-IT"/>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s>
      <w:suppressAutoHyphens w:val="1"/>
      <w:bidi w:val="0"/>
      <w:spacing w:before="0" w:after="0" w:line="276" w:lineRule="auto"/>
      <w:ind w:left="72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1">
    <w:name w:val="Importeret format 1"/>
    <w:pPr>
      <w:numPr>
        <w:numId w:val="1"/>
      </w:numPr>
    </w:pPr>
  </w:style>
  <w:style w:type="character" w:styleId="Hyperlink.1">
    <w:name w:val="Hyperlink.1"/>
    <w:basedOn w:val="Ingen"/>
    <w:next w:val="Hyperlink.1"/>
    <w:rPr>
      <w:outline w:val="0"/>
      <w:color w:val="002060"/>
      <w:u w:val="single" w:color="002060"/>
      <w:lang w:val="en-US"/>
      <w14:textFill>
        <w14:solidFill>
          <w14:srgbClr w14:val="002060"/>
        </w14:solidFill>
      </w14:textFill>
    </w:rPr>
  </w:style>
  <w:style w:type="numbering" w:styleId="Importeret format 2">
    <w:name w:val="Importeret format 2"/>
    <w:pPr>
      <w:numPr>
        <w:numId w:val="3"/>
      </w:numPr>
    </w:pPr>
  </w:style>
  <w:style w:type="numbering" w:styleId="Importeret format 3">
    <w:name w:val="Importeret format 3"/>
    <w:pPr>
      <w:numPr>
        <w:numId w:val="5"/>
      </w:numPr>
    </w:pPr>
  </w:style>
  <w:style w:type="paragraph" w:styleId="heading 2">
    <w:name w:val="heading 2"/>
    <w:next w:val="Brødtekst A"/>
    <w:pPr>
      <w:keepNext w:val="1"/>
      <w:keepLines w:val="1"/>
      <w:pageBreakBefore w:val="0"/>
      <w:widowControl w:val="0"/>
      <w:shd w:val="clear" w:color="auto" w:fill="auto"/>
      <w:tabs>
        <w:tab w:val="left" w:pos="340"/>
      </w:tabs>
      <w:suppressAutoHyphens w:val="1"/>
      <w:bidi w:val="0"/>
      <w:spacing w:before="40" w:after="0" w:line="276"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4">
    <w:name w:val="Importeret format 4"/>
    <w:pPr>
      <w:numPr>
        <w:numId w:val="7"/>
      </w:numPr>
    </w:pPr>
  </w:style>
  <w:style w:type="numbering" w:styleId="Importeret format 5">
    <w:name w:val="Importeret format 5"/>
    <w:pPr>
      <w:numPr>
        <w:numId w:val="9"/>
      </w:numPr>
    </w:pPr>
  </w:style>
  <w:style w:type="numbering" w:styleId="Importeret format 6">
    <w:name w:val="Importeret format 6"/>
    <w:pPr>
      <w:numPr>
        <w:numId w:val="11"/>
      </w:numPr>
    </w:pPr>
  </w:style>
  <w:style w:type="character" w:styleId="Hyperlink.2">
    <w:name w:val="Hyperlink.2"/>
    <w:basedOn w:val="Ingen"/>
    <w:next w:val="Hyperlink.2"/>
    <w:rPr>
      <w:rFonts w:ascii="Bradford LL" w:cs="Bradford LL" w:hAnsi="Bradford LL" w:eastAsia="Bradford LL"/>
      <w:i w:val="1"/>
      <w:iCs w:val="1"/>
      <w:outline w:val="0"/>
      <w:color w:val="0563c1"/>
      <w:u w:val="single" w:color="0563c1"/>
      <w14:textFill>
        <w14:solidFill>
          <w14:srgbClr w14:val="0563C1"/>
        </w14:solidFill>
      </w14:textFill>
    </w:rPr>
  </w:style>
  <w:style w:type="numbering" w:styleId="Importeret format 7">
    <w:name w:val="Importeret format 7"/>
    <w:pPr>
      <w:numPr>
        <w:numId w:val="13"/>
      </w:numPr>
    </w:pPr>
  </w:style>
  <w:style w:type="numbering" w:styleId="Importeret format 8">
    <w:name w:val="Importeret format 8"/>
    <w:pPr>
      <w:numPr>
        <w:numId w:val="15"/>
      </w:numPr>
    </w:pPr>
  </w:style>
  <w:style w:type="character" w:styleId="Hyperlink.3">
    <w:name w:val="Hyperlink.3"/>
    <w:basedOn w:val="Ingen"/>
    <w:next w:val="Hyperlink.3"/>
    <w:rPr>
      <w:outline w:val="0"/>
      <w:color w:val="0563c1"/>
      <w:u w:val="single" w:color="0563c1"/>
      <w:lang w:val="en-US"/>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