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rødtekst"/>
        <w:jc w:val="right"/>
      </w:pPr>
      <w:bookmarkStart w:name="_Hlk137801768" w:id="0"/>
      <w:r>
        <w:rPr>
          <w:i w:val="1"/>
          <w:iCs w:val="1"/>
          <w:outline w:val="0"/>
          <w:color w:val="002060"/>
          <w:u w:color="002060"/>
          <w:rtl w:val="0"/>
          <w14:textFill>
            <w14:solidFill>
              <w14:srgbClr w14:val="002060"/>
            </w14:solidFill>
          </w14:textFill>
        </w:rPr>
        <w:t>T</w:t>
      </w:r>
      <w:bookmarkEnd w:id="0"/>
      <w:bookmarkStart w:name="_Hlk130807255" w:id="1"/>
      <w:r>
        <w:rPr>
          <w:i w:val="1"/>
          <w:iCs w:val="1"/>
          <w:outline w:val="0"/>
          <w:color w:val="002060"/>
          <w:u w:color="002060"/>
          <w:rtl w:val="0"/>
          <w:lang w:val="en-US"/>
          <w14:textFill>
            <w14:solidFill>
              <w14:srgbClr w14:val="002060"/>
            </w14:solidFill>
          </w14:textFill>
        </w:rPr>
        <w:t>he Sermermiut settlement</w:t>
      </w:r>
      <w:r>
        <w:rPr>
          <w:rtl w:val="0"/>
        </w:rPr>
        <w:t xml:space="preserve"> </w:t>
      </w:r>
      <w:r>
        <mc:AlternateContent>
          <mc:Choice Requires="wpg">
            <w:drawing xmlns:a="http://schemas.openxmlformats.org/drawingml/2006/main">
              <wp:anchor distT="0" distB="0" distL="0" distR="0" simplePos="0" relativeHeight="251659264" behindDoc="0" locked="0" layoutInCell="1" allowOverlap="1">
                <wp:simplePos x="0" y="0"/>
                <wp:positionH relativeFrom="column">
                  <wp:posOffset>89534</wp:posOffset>
                </wp:positionH>
                <wp:positionV relativeFrom="page">
                  <wp:posOffset>542924</wp:posOffset>
                </wp:positionV>
                <wp:extent cx="1704976" cy="771527"/>
                <wp:effectExtent l="0" t="0" r="0" b="0"/>
                <wp:wrapNone/>
                <wp:docPr id="1073741827" name="officeArt object" descr="Ellipse 22"/>
                <wp:cNvGraphicFramePr/>
                <a:graphic xmlns:a="http://schemas.openxmlformats.org/drawingml/2006/main">
                  <a:graphicData uri="http://schemas.microsoft.com/office/word/2010/wordprocessingGroup">
                    <wpg:wgp>
                      <wpg:cNvGrpSpPr/>
                      <wpg:grpSpPr>
                        <a:xfrm>
                          <a:off x="0" y="0"/>
                          <a:ext cx="1704976" cy="771527"/>
                          <a:chOff x="0" y="0"/>
                          <a:chExt cx="1704975" cy="771526"/>
                        </a:xfrm>
                      </wpg:grpSpPr>
                      <wps:wsp>
                        <wps:cNvPr id="1073741825" name="Oval"/>
                        <wps:cNvSpPr/>
                        <wps:spPr>
                          <a:xfrm>
                            <a:off x="0" y="-1"/>
                            <a:ext cx="1704976" cy="771528"/>
                          </a:xfrm>
                          <a:prstGeom prst="ellipse">
                            <a:avLst/>
                          </a:prstGeom>
                          <a:solidFill>
                            <a:srgbClr val="0070C0"/>
                          </a:solidFill>
                          <a:ln w="12700" cap="flat">
                            <a:solidFill>
                              <a:srgbClr val="32538F"/>
                            </a:solidFill>
                            <a:prstDash val="solid"/>
                            <a:miter lim="800000"/>
                          </a:ln>
                          <a:effectLst/>
                        </wps:spPr>
                        <wps:bodyPr/>
                      </wps:wsp>
                      <wps:wsp>
                        <wps:cNvPr id="1073741826" name="Teacher's guide"/>
                        <wps:cNvSpPr txBox="1"/>
                        <wps:spPr>
                          <a:xfrm>
                            <a:off x="301758" y="119336"/>
                            <a:ext cx="1101459" cy="532853"/>
                          </a:xfrm>
                          <a:prstGeom prst="rect">
                            <a:avLst/>
                          </a:prstGeom>
                          <a:noFill/>
                          <a:ln w="12700" cap="flat">
                            <a:noFill/>
                            <a:miter lim="400000"/>
                          </a:ln>
                          <a:effectLst/>
                        </wps:spPr>
                        <wps:txbx>
                          <w:txbxContent>
                            <w:p>
                              <w:pPr>
                                <w:pStyle w:val="Brødtekst"/>
                              </w:pPr>
                              <w:r>
                                <w:rPr>
                                  <w:rtl w:val="0"/>
                                  <w:lang w:val="en-US"/>
                                </w:rPr>
                                <w:t>Teacher's guide</w:t>
                              </w:r>
                            </w:p>
                          </w:txbxContent>
                        </wps:txbx>
                        <wps:bodyPr wrap="square" lIns="45719" tIns="45719" rIns="45719" bIns="45719" numCol="1" anchor="ctr">
                          <a:noAutofit/>
                        </wps:bodyPr>
                      </wps:wsp>
                    </wpg:wgp>
                  </a:graphicData>
                </a:graphic>
              </wp:anchor>
            </w:drawing>
          </mc:Choice>
          <mc:Fallback>
            <w:pict>
              <v:group id="_x0000_s1026" style="visibility:visible;position:absolute;margin-left:7.1pt;margin-top:42.7pt;width:134.3pt;height:60.8pt;z-index:251659264;mso-position-horizontal:absolute;mso-position-horizontal-relative:text;mso-position-vertical:absolute;mso-position-vertical-relative:page;mso-wrap-distance-left:0.0pt;mso-wrap-distance-top:0.0pt;mso-wrap-distance-right:0.0pt;mso-wrap-distance-bottom:0.0pt;" coordorigin="0,0" coordsize="1704976,771526">
                <w10:wrap type="none" side="bothSides" anchorx="text" anchory="page"/>
                <v:oval id="_x0000_s1027" style="position:absolute;left:0;top:0;width:1704976;height:771526;">
                  <v:fill color="#0070C0" opacity="100.0%" type="solid"/>
                  <v:stroke filltype="solid" color="#32538F" opacity="100.0%" weight="1.0pt" dashstyle="solid" endcap="flat" miterlimit="800.0%" joinstyle="miter" linestyle="single" startarrow="none" startarrowwidth="medium" startarrowlength="medium" endarrow="none" endarrowwidth="medium" endarrowlength="medium"/>
                </v:oval>
                <v:shape id="_x0000_s1028" type="#_x0000_t202" style="position:absolute;left:301758;top:119337;width:1101459;height:532851;">
                  <v:fill on="f"/>
                  <v:stroke on="f" weight="1.0pt" dashstyle="solid" endcap="flat" miterlimit="400.0%" joinstyle="miter" linestyle="single" startarrow="none" startarrowwidth="medium" startarrowlength="medium" endarrow="none" endarrowwidth="medium" endarrowlength="medium"/>
                  <v:textbox>
                    <w:txbxContent>
                      <w:p>
                        <w:pPr>
                          <w:pStyle w:val="Brødtekst"/>
                        </w:pPr>
                        <w:r>
                          <w:rPr>
                            <w:rtl w:val="0"/>
                            <w:lang w:val="en-US"/>
                          </w:rPr>
                          <w:t>Teacher's guide</w:t>
                        </w:r>
                      </w:p>
                    </w:txbxContent>
                  </v:textbox>
                </v:shape>
              </v:group>
            </w:pict>
          </mc:Fallback>
        </mc:AlternateContent>
      </w:r>
      <w:r>
        <w:rPr>
          <w:b w:val="1"/>
          <w:bCs w:val="1"/>
          <w:rtl w:val="0"/>
        </w:rPr>
        <w:t xml:space="preserve"> </w:t>
      </w:r>
      <w:bookmarkEnd w:id="1"/>
      <w:r>
        <w:rPr>
          <w:rtl w:val="0"/>
        </w:rPr>
        <w:t xml:space="preserve"> </w:t>
      </w:r>
    </w:p>
    <w:p>
      <w:pPr>
        <w:pStyle w:val="Brødtekst"/>
        <w:jc w:val="right"/>
      </w:pPr>
      <w:r>
        <w:rPr>
          <w:outline w:val="0"/>
          <w:color w:val="002060"/>
          <w:u w:color="002060"/>
          <w:rtl w:val="0"/>
          <w:lang w:val="en-US"/>
          <w14:textFill>
            <w14:solidFill>
              <w14:srgbClr w14:val="002060"/>
            </w14:solidFill>
          </w14:textFill>
        </w:rPr>
        <w:t>Oldest level</w:t>
      </w:r>
      <w:r>
        <w:rPr>
          <w:rtl w:val="0"/>
        </w:rPr>
        <w:t xml:space="preserve"> </w:t>
      </w:r>
    </w:p>
    <w:p>
      <w:pPr>
        <w:pStyle w:val="Brødtekst"/>
      </w:pPr>
    </w:p>
    <w:p>
      <w:pPr>
        <w:pStyle w:val="heading 1"/>
      </w:pPr>
    </w:p>
    <w:p>
      <w:pPr>
        <w:pStyle w:val="heading 1"/>
      </w:pPr>
      <w:r>
        <w:rPr>
          <w:rFonts w:cs="Arial Unicode MS" w:eastAsia="Arial Unicode MS"/>
          <w:rtl w:val="0"/>
          <w:lang w:val="en-US"/>
        </w:rPr>
        <w:t>ABOUT THE VISITOR</w:t>
      </w:r>
      <w:r>
        <w:rPr>
          <w:rFonts w:cs="Arial Unicode MS" w:eastAsia="Arial Unicode MS" w:hint="default"/>
          <w:rtl w:val="0"/>
          <w:lang w:val="en-US"/>
        </w:rPr>
        <w:t>’</w:t>
      </w:r>
      <w:r>
        <w:rPr>
          <w:rFonts w:cs="Arial Unicode MS" w:eastAsia="Arial Unicode MS"/>
          <w:rtl w:val="0"/>
          <w:lang w:val="en-US"/>
        </w:rPr>
        <w:t>S MATERIAL</w:t>
      </w:r>
    </w:p>
    <w:p>
      <w:pPr>
        <w:pStyle w:val="Brødtekst"/>
      </w:pPr>
      <w:r>
        <w:rPr>
          <w:rtl w:val="0"/>
          <w:lang w:val="en-US"/>
        </w:rPr>
        <w:t xml:space="preserve">The material is handed out at the counter. We recommend that you print it out yourself and prepare the students before visiting: </w:t>
      </w:r>
      <w:r>
        <w:rPr>
          <w:rStyle w:val="Hyperlink.0"/>
        </w:rPr>
        <w:fldChar w:fldCharType="begin" w:fldLock="0"/>
      </w:r>
      <w:r>
        <w:rPr>
          <w:rStyle w:val="Hyperlink.0"/>
        </w:rPr>
        <w:instrText xml:space="preserve"> HYPERLINK "https://isfjordscentret.gl/en/the-sermermiut-settlement-oldest-level/"</w:instrText>
      </w:r>
      <w:r>
        <w:rPr>
          <w:rStyle w:val="Hyperlink.0"/>
        </w:rPr>
        <w:fldChar w:fldCharType="separate" w:fldLock="0"/>
      </w:r>
      <w:r>
        <w:rPr>
          <w:rStyle w:val="Hyperlink.0"/>
          <w:rtl w:val="0"/>
          <w:lang w:val="it-IT"/>
        </w:rPr>
        <w:t>visitor</w:t>
      </w:r>
      <w:r>
        <w:rPr>
          <w:rStyle w:val="Hyperlink.0"/>
          <w:rtl w:val="1"/>
        </w:rPr>
        <w:t>’</w:t>
      </w:r>
      <w:r>
        <w:rPr>
          <w:rStyle w:val="Hyperlink.0"/>
          <w:rtl w:val="0"/>
          <w:lang w:val="pt-PT"/>
        </w:rPr>
        <w:t>s material.</w:t>
      </w:r>
      <w:r>
        <w:rPr/>
        <w:fldChar w:fldCharType="end" w:fldLock="0"/>
      </w:r>
    </w:p>
    <w:p>
      <w:pPr>
        <w:pStyle w:val="Brødtekst"/>
      </w:pPr>
    </w:p>
    <w:p>
      <w:pPr>
        <w:pStyle w:val="Brødtekst"/>
      </w:pPr>
      <w:r>
        <w:rPr>
          <w:rtl w:val="0"/>
          <w:lang w:val="en-US"/>
        </w:rPr>
        <w:t xml:space="preserve">It consists of </w:t>
      </w:r>
    </w:p>
    <w:p>
      <w:pPr>
        <w:pStyle w:val="List Paragraph"/>
        <w:numPr>
          <w:ilvl w:val="0"/>
          <w:numId w:val="2"/>
        </w:numPr>
        <w:rPr>
          <w:lang w:val="en-US"/>
        </w:rPr>
      </w:pPr>
      <w:r>
        <w:rPr>
          <w:rtl w:val="0"/>
          <w:lang w:val="en-US"/>
        </w:rPr>
        <w:t>a ground plan of the exhibition</w:t>
      </w:r>
    </w:p>
    <w:p>
      <w:pPr>
        <w:pStyle w:val="List Paragraph"/>
        <w:numPr>
          <w:ilvl w:val="0"/>
          <w:numId w:val="2"/>
        </w:numPr>
        <w:rPr>
          <w:lang w:val="en-US"/>
        </w:rPr>
      </w:pPr>
      <w:r>
        <w:rPr>
          <w:rtl w:val="0"/>
          <w:lang w:val="en-US"/>
        </w:rPr>
        <w:t>an info sheet and an answer sheet for the students</w:t>
      </w:r>
    </w:p>
    <w:p>
      <w:pPr>
        <w:pStyle w:val="Brødtekst"/>
      </w:pPr>
      <w:r>
        <w:rPr>
          <w:rtl w:val="0"/>
          <w:lang w:val="en-US"/>
        </w:rPr>
        <w:t xml:space="preserve">Page references are to the book placed at the topic </w:t>
      </w:r>
      <w:r>
        <w:rPr>
          <w:rtl w:val="0"/>
        </w:rPr>
        <w:t xml:space="preserve">– </w:t>
      </w:r>
      <w:r>
        <w:rPr>
          <w:rtl w:val="0"/>
          <w:lang w:val="en-US"/>
        </w:rPr>
        <w:t xml:space="preserve">in this case: </w:t>
      </w:r>
      <w:r>
        <w:rPr>
          <w:rStyle w:val="Hyperlink.0"/>
        </w:rPr>
        <w:fldChar w:fldCharType="begin" w:fldLock="0"/>
      </w:r>
      <w:r>
        <w:rPr>
          <w:rStyle w:val="Hyperlink.0"/>
        </w:rPr>
        <w:instrText xml:space="preserve"> HYPERLINK "https://issuu.com/isfjordscentret/docs/sermermiut_final?fr=xKAE9_zU1NQ"</w:instrText>
      </w:r>
      <w:r>
        <w:rPr>
          <w:rStyle w:val="Hyperlink.0"/>
        </w:rPr>
        <w:fldChar w:fldCharType="separate" w:fldLock="0"/>
      </w:r>
      <w:r>
        <w:rPr>
          <w:rStyle w:val="Hyperlink.0"/>
          <w:rtl w:val="0"/>
          <w:lang w:val="en-US"/>
        </w:rPr>
        <w:t>The Sermermiut settlement.</w:t>
      </w:r>
      <w:r>
        <w:rPr/>
        <w:fldChar w:fldCharType="end" w:fldLock="0"/>
      </w:r>
    </w:p>
    <w:p>
      <w:pPr>
        <w:pStyle w:val="heading 1"/>
        <w:rPr>
          <w:rFonts w:ascii="Bookman Old Style" w:cs="Bookman Old Style" w:hAnsi="Bookman Old Style" w:eastAsia="Bookman Old Style"/>
        </w:rPr>
      </w:pPr>
      <w:r>
        <w:rPr>
          <w:rFonts w:cs="Arial Unicode MS" w:eastAsia="Arial Unicode MS"/>
          <w:rtl w:val="0"/>
          <w:lang w:val="en-US"/>
        </w:rPr>
        <w:t>SUBJECTS AND COMPETENCES</w:t>
      </w:r>
    </w:p>
    <w:p>
      <w:pPr>
        <w:pStyle w:val="Brødtekst"/>
      </w:pPr>
      <w:r>
        <w:rPr>
          <w:rtl w:val="0"/>
          <w:lang w:val="en-US"/>
        </w:rPr>
        <w:t>History and science, contemplation and oral and written communication</w:t>
      </w:r>
    </w:p>
    <w:p>
      <w:pPr>
        <w:pStyle w:val="heading 1"/>
        <w:rPr>
          <w:rFonts w:ascii="Bookman Old Style" w:cs="Bookman Old Style" w:hAnsi="Bookman Old Style" w:eastAsia="Bookman Old Style"/>
        </w:rPr>
      </w:pPr>
      <w:r>
        <w:rPr>
          <w:rFonts w:cs="Arial Unicode MS" w:eastAsia="Arial Unicode MS"/>
          <w:rtl w:val="0"/>
          <w:lang w:val="en-US"/>
        </w:rPr>
        <w:t>LEARNING OBJECTIVES</w:t>
      </w:r>
    </w:p>
    <w:p>
      <w:pPr>
        <w:pStyle w:val="heading 1"/>
        <w:numPr>
          <w:ilvl w:val="0"/>
          <w:numId w:val="4"/>
        </w:numPr>
        <w:bidi w:val="0"/>
        <w:spacing w:before="0"/>
        <w:ind w:right="0"/>
        <w:jc w:val="left"/>
        <w:rPr>
          <w:outline w:val="0"/>
          <w:color w:val="000000"/>
          <w:sz w:val="22"/>
          <w:szCs w:val="22"/>
          <w:rtl w:val="0"/>
          <w:lang w:val="en-US"/>
          <w14:textFill>
            <w14:solidFill>
              <w14:srgbClr w14:val="000000"/>
            </w14:solidFill>
          </w14:textFill>
        </w:rPr>
      </w:pPr>
      <w:r>
        <w:rPr>
          <w:outline w:val="0"/>
          <w:color w:val="000000"/>
          <w:sz w:val="22"/>
          <w:szCs w:val="22"/>
          <w:u w:color="000000"/>
          <w:rtl w:val="0"/>
          <w:lang w:val="en-US"/>
          <w14:textFill>
            <w14:solidFill>
              <w14:srgbClr w14:val="000000"/>
            </w14:solidFill>
          </w14:textFill>
        </w:rPr>
        <w:t>the students gain knowledge about the development of hunting tools and articles for everyday use through thousands of years.</w:t>
      </w:r>
    </w:p>
    <w:p>
      <w:pPr>
        <w:pStyle w:val="heading 1"/>
        <w:numPr>
          <w:ilvl w:val="0"/>
          <w:numId w:val="4"/>
        </w:numPr>
        <w:bidi w:val="0"/>
        <w:spacing w:before="0"/>
        <w:ind w:right="0"/>
        <w:jc w:val="left"/>
        <w:rPr>
          <w:i w:val="1"/>
          <w:iCs w:val="1"/>
          <w:outline w:val="0"/>
          <w:color w:val="000000"/>
          <w:sz w:val="22"/>
          <w:szCs w:val="22"/>
          <w:rtl w:val="0"/>
          <w:lang w:val="en-US"/>
          <w14:textFill>
            <w14:solidFill>
              <w14:srgbClr w14:val="000000"/>
            </w14:solidFill>
          </w14:textFill>
        </w:rPr>
      </w:pPr>
      <w:r>
        <w:rPr>
          <w:i w:val="0"/>
          <w:iCs w:val="0"/>
          <w:outline w:val="0"/>
          <w:color w:val="000000"/>
          <w:sz w:val="22"/>
          <w:szCs w:val="22"/>
          <w:u w:color="000000"/>
          <w:rtl w:val="0"/>
          <w:lang w:val="en-US"/>
          <w14:textFill>
            <w14:solidFill>
              <w14:srgbClr w14:val="000000"/>
            </w14:solidFill>
          </w14:textFill>
        </w:rPr>
        <w:t>they acquire a special knowledge of the Sermermiut settlement and the immigrations of the Saqqaq people, the Dorset people and the Thule people.</w:t>
      </w:r>
    </w:p>
    <w:p>
      <w:pPr>
        <w:pStyle w:val="heading 1"/>
        <w:rPr>
          <w:rFonts w:ascii="Bookman Old Style" w:cs="Bookman Old Style" w:hAnsi="Bookman Old Style" w:eastAsia="Bookman Old Style"/>
        </w:rPr>
      </w:pPr>
      <w:r>
        <w:rPr>
          <w:rFonts w:cs="Arial Unicode MS" w:eastAsia="Arial Unicode MS"/>
          <w:rtl w:val="0"/>
          <w:lang w:val="en-US"/>
        </w:rPr>
        <w:t>GUIDELINES</w:t>
      </w:r>
    </w:p>
    <w:p>
      <w:pPr>
        <w:pStyle w:val="Brødtekst"/>
      </w:pPr>
      <w:r>
        <w:rPr>
          <w:rtl w:val="0"/>
          <w:lang w:val="en-US"/>
        </w:rPr>
        <w:t>First let the students explore the exhibition on their own. Then gather them in the area shown by the staff.</w:t>
      </w:r>
    </w:p>
    <w:p>
      <w:pPr>
        <w:pStyle w:val="Brødtekst"/>
      </w:pPr>
      <w:r>
        <w:rPr>
          <w:rtl w:val="0"/>
          <w:lang w:val="en-US"/>
        </w:rPr>
        <w:t xml:space="preserve">Explain the ground plan and let them find the ice floes and the table model that represent </w:t>
      </w:r>
      <w:r>
        <w:rPr>
          <w:i w:val="1"/>
          <w:iCs w:val="1"/>
          <w:rtl w:val="0"/>
          <w:lang w:val="en-US"/>
        </w:rPr>
        <w:t>The Sermermiut settlement</w:t>
      </w:r>
      <w:r>
        <w:rPr>
          <w:i w:val="1"/>
          <w:iCs w:val="1"/>
          <w:outline w:val="0"/>
          <w:color w:val="002060"/>
          <w:u w:color="002060"/>
          <w:rtl w:val="0"/>
          <w14:textFill>
            <w14:solidFill>
              <w14:srgbClr w14:val="002060"/>
            </w14:solidFill>
          </w14:textFill>
        </w:rPr>
        <w:t>.</w:t>
      </w:r>
    </w:p>
    <w:p>
      <w:pPr>
        <w:pStyle w:val="Brødtekst"/>
        <w:spacing w:before="120"/>
      </w:pPr>
      <w:r>
        <w:rPr>
          <w:rtl w:val="0"/>
          <w:lang w:val="en-US"/>
        </w:rPr>
        <w:t xml:space="preserve">Give an instruction for the sheets to make clear what the tasks are. </w:t>
      </w:r>
    </w:p>
    <w:p>
      <w:pPr>
        <w:pStyle w:val="List Paragraph"/>
        <w:numPr>
          <w:ilvl w:val="0"/>
          <w:numId w:val="6"/>
        </w:numPr>
        <w:rPr>
          <w:lang w:val="en-US"/>
        </w:rPr>
      </w:pPr>
      <w:r>
        <w:rPr>
          <w:rtl w:val="0"/>
          <w:lang w:val="en-US"/>
        </w:rPr>
        <w:t>On the face of the info sheet is a short text. On the answer sheet are two questions to each of the three ice floes and the table model. At each picture is a circle containing a letter. These letters plus L and S must be combined to form a word. (flense)</w:t>
      </w:r>
    </w:p>
    <w:p>
      <w:pPr>
        <w:pStyle w:val="List Paragraph"/>
        <w:numPr>
          <w:ilvl w:val="0"/>
          <w:numId w:val="6"/>
        </w:numPr>
        <w:rPr>
          <w:lang w:val="en-US"/>
        </w:rPr>
      </w:pPr>
      <w:r>
        <w:rPr>
          <w:rtl w:val="0"/>
          <w:lang w:val="en-US"/>
        </w:rPr>
        <w:t xml:space="preserve">On the answer sheet the students can write or draw their answers. </w:t>
      </w:r>
    </w:p>
    <w:p>
      <w:pPr>
        <w:pStyle w:val="Brødtekst"/>
        <w:spacing w:before="120"/>
      </w:pPr>
      <w:r>
        <w:rPr>
          <w:rtl w:val="0"/>
          <w:lang w:val="en-US"/>
        </w:rPr>
        <w:t>If you prefer to work digitally, you can find the material on the Icefjord Centre's learning platform:</w:t>
      </w:r>
    </w:p>
    <w:p>
      <w:pPr>
        <w:pStyle w:val="Brødtekst"/>
      </w:pPr>
      <w:r>
        <w:rPr>
          <w:rStyle w:val="Hyperlink.0"/>
        </w:rPr>
        <w:fldChar w:fldCharType="begin" w:fldLock="0"/>
      </w:r>
      <w:r>
        <w:rPr>
          <w:rStyle w:val="Hyperlink.0"/>
        </w:rPr>
        <w:instrText xml:space="preserve"> HYPERLINK "https://isfjordscentret.gl/en/the-sermermiut-settlement-oldest-level/"</w:instrText>
      </w:r>
      <w:r>
        <w:rPr>
          <w:rStyle w:val="Hyperlink.0"/>
        </w:rPr>
        <w:fldChar w:fldCharType="separate" w:fldLock="0"/>
      </w:r>
      <w:r>
        <w:rPr>
          <w:rStyle w:val="Hyperlink.0"/>
          <w:rtl w:val="0"/>
          <w:lang w:val="it-IT"/>
        </w:rPr>
        <w:t>visitor</w:t>
      </w:r>
      <w:r>
        <w:rPr>
          <w:rStyle w:val="Hyperlink.0"/>
          <w:rtl w:val="1"/>
        </w:rPr>
        <w:t>’</w:t>
      </w:r>
      <w:r>
        <w:rPr>
          <w:rStyle w:val="Hyperlink.0"/>
          <w:rtl w:val="0"/>
          <w:lang w:val="en-US"/>
        </w:rPr>
        <w:t>s material</w:t>
      </w:r>
      <w:r>
        <w:rPr/>
        <w:fldChar w:fldCharType="end" w:fldLock="0"/>
      </w:r>
    </w:p>
    <w:p>
      <w:pPr>
        <w:pStyle w:val="Brødtekst"/>
      </w:pPr>
    </w:p>
    <w:p>
      <w:pPr>
        <w:pStyle w:val="Brødtekst"/>
      </w:pPr>
    </w:p>
    <w:p>
      <w:pPr>
        <w:pStyle w:val="Brødtekst"/>
      </w:pPr>
    </w:p>
    <w:p>
      <w:pPr>
        <w:pStyle w:val="Brødtekst"/>
      </w:pPr>
      <w:r>
        <w:rPr>
          <w:rtl w:val="0"/>
          <w:lang w:val="en-US"/>
        </w:rPr>
        <w:t>Now let the students go to the ice floes. Instruct them to study the ice floes carefully before they start answering the questions.  Encourage them to come up with questions of wonder.  Organize the students in pairs or in small groups.</w:t>
      </w:r>
    </w:p>
    <w:p>
      <w:pPr>
        <w:pStyle w:val="heading 2"/>
        <w:rPr>
          <w:rFonts w:ascii="Bradford LL Light" w:cs="Bradford LL Light" w:hAnsi="Bradford LL Light" w:eastAsia="Bradford LL Light"/>
        </w:rPr>
      </w:pPr>
    </w:p>
    <w:p>
      <w:pPr>
        <w:pStyle w:val="heading 2"/>
        <w:pBdr>
          <w:top w:val="nil"/>
          <w:left w:val="nil"/>
          <w:bottom w:val="dashed" w:color="0070c0" w:sz="4" w:space="0" w:shadow="0" w:frame="0"/>
          <w:right w:val="nil"/>
        </w:pBdr>
        <w:rPr>
          <w:rFonts w:ascii="Bradford LL Light" w:cs="Bradford LL Light" w:hAnsi="Bradford LL Light" w:eastAsia="Bradford LL Light"/>
        </w:rPr>
      </w:pPr>
      <w:r>
        <w:rPr>
          <w:rFonts w:ascii="Bradford LL Light" w:hAnsi="Bradford LL Light"/>
          <w:rtl w:val="0"/>
          <w:lang w:val="en-US"/>
        </w:rPr>
        <w:t>Suggestions for working with the ice floes during/after the visit</w:t>
      </w:r>
    </w:p>
    <w:p>
      <w:pPr>
        <w:pStyle w:val="Bradford"/>
        <w:keepNext w:val="1"/>
      </w:pPr>
    </w:p>
    <w:p>
      <w:pPr>
        <w:pStyle w:val="Bradford"/>
        <w:keepNext w:val="1"/>
        <w:tabs>
          <w:tab w:val="left" w:pos="5670"/>
          <w:tab w:val="right" w:pos="9356"/>
        </w:tabs>
        <w:rPr>
          <w:outline w:val="0"/>
          <w:color w:val="2f5496"/>
          <w:sz w:val="24"/>
          <w:szCs w:val="24"/>
          <w:u w:color="2f5496"/>
          <w14:textFill>
            <w14:solidFill>
              <w14:srgbClr w14:val="2F5496"/>
            </w14:solidFill>
          </w14:textFill>
        </w:rPr>
      </w:pPr>
      <w:r>
        <w:rPr>
          <w:outline w:val="0"/>
          <w:color w:val="2f5496"/>
          <w:sz w:val="24"/>
          <w:szCs w:val="24"/>
          <w:u w:color="2f5496"/>
          <w:rtl w:val="0"/>
          <w:lang w:val="en-US"/>
          <w14:textFill>
            <w14:solidFill>
              <w14:srgbClr w14:val="2F5496"/>
            </w14:solidFill>
          </w14:textFill>
        </w:rPr>
        <w:t xml:space="preserve">THE PICTURE ON THE FACE OF THE INFO SHEET </w:t>
        <w:tab/>
      </w:r>
      <w:r>
        <w:rPr>
          <w:sz w:val="24"/>
          <w:szCs w:val="24"/>
          <w:rtl w:val="0"/>
          <w:lang w:val="en-US"/>
        </w:rPr>
        <w:t>pp. 4-5</w:t>
      </w:r>
    </w:p>
    <w:p>
      <w:pPr>
        <w:pStyle w:val="Bradford"/>
      </w:pPr>
      <w:r>
        <w:rPr>
          <w:rFonts w:cs="Arial Unicode MS" w:eastAsia="Arial Unicode MS"/>
          <w:rtl w:val="0"/>
          <w:lang w:val="en-US"/>
        </w:rPr>
        <w:t>Let the students study the picture and discuss the suitability of the place for a settlement.</w:t>
      </w:r>
    </w:p>
    <w:p>
      <w:pPr>
        <w:pStyle w:val="Bradford"/>
      </w:pPr>
      <w:r>
        <w:rPr>
          <w:rFonts w:cs="Arial Unicode MS" w:eastAsia="Arial Unicode MS"/>
          <w:rtl w:val="0"/>
          <w:lang w:val="en-US"/>
        </w:rPr>
        <w:t xml:space="preserve">Caption for the picture: </w:t>
      </w:r>
      <w:r>
        <w:rPr>
          <w:rFonts w:cs="Arial Unicode MS" w:eastAsia="Arial Unicode MS"/>
          <w:i w:val="1"/>
          <w:iCs w:val="1"/>
          <w:rtl w:val="0"/>
          <w:lang w:val="en-US"/>
        </w:rPr>
        <w:t>The former settlement of Sermermiut lies on the cliff at the head of the bay.</w:t>
      </w:r>
    </w:p>
    <w:p>
      <w:pPr>
        <w:pStyle w:val="Bradford"/>
        <w:keepNext w:val="1"/>
        <w:tabs>
          <w:tab w:val="left" w:pos="5670"/>
          <w:tab w:val="right" w:pos="9356"/>
        </w:tabs>
        <w:rPr>
          <w:outline w:val="0"/>
          <w:color w:val="2f5496"/>
          <w:sz w:val="24"/>
          <w:szCs w:val="24"/>
          <w:u w:color="2f5496"/>
          <w14:textFill>
            <w14:solidFill>
              <w14:srgbClr w14:val="2F5496"/>
            </w14:solidFill>
          </w14:textFill>
        </w:rPr>
      </w:pPr>
    </w:p>
    <w:p>
      <w:pPr>
        <w:pStyle w:val="Bradford"/>
        <w:keepNext w:val="1"/>
        <w:tabs>
          <w:tab w:val="left" w:pos="5670"/>
          <w:tab w:val="right" w:pos="9356"/>
        </w:tabs>
        <w:rPr>
          <w:rFonts w:ascii="Bookman Old Style" w:cs="Bookman Old Style" w:hAnsi="Bookman Old Style" w:eastAsia="Bookman Old Style"/>
        </w:rPr>
      </w:pPr>
      <w:r>
        <w:rPr>
          <w:outline w:val="0"/>
          <w:color w:val="2f5496"/>
          <w:sz w:val="24"/>
          <w:szCs w:val="24"/>
          <w:u w:color="2f5496"/>
          <w:rtl w:val="0"/>
          <w:lang w:val="en-US"/>
          <w14:textFill>
            <w14:solidFill>
              <w14:srgbClr w14:val="2F5496"/>
            </w14:solidFill>
          </w14:textFill>
        </w:rPr>
        <w:t>HUNTING TOOLS</w:t>
      </w:r>
      <w:r>
        <w:rPr>
          <w:rtl w:val="0"/>
        </w:rPr>
        <w:tab/>
        <w:t xml:space="preserve"> </w:t>
        <w:tab/>
        <w:t>pp. 6-13</w:t>
      </w:r>
    </w:p>
    <w:p>
      <w:pPr>
        <w:pStyle w:val="Bradford"/>
        <w:keepNext w:val="1"/>
        <w:tabs>
          <w:tab w:val="left" w:pos="5670"/>
          <w:tab w:val="right" w:pos="9356"/>
        </w:tabs>
        <w:rPr>
          <w:sz w:val="24"/>
          <w:szCs w:val="24"/>
        </w:rPr>
      </w:pPr>
      <w:r>
        <w:rPr>
          <w:sz w:val="24"/>
          <w:szCs w:val="24"/>
          <w:rtl w:val="0"/>
          <w:lang w:val="en-US"/>
        </w:rPr>
        <w:t>The students are to examine the archeological findings in the ice floe. They can read about them in the book.</w:t>
      </w:r>
    </w:p>
    <w:p>
      <w:pPr>
        <w:pStyle w:val="Bradford"/>
        <w:keepNext w:val="1"/>
        <w:tabs>
          <w:tab w:val="left" w:pos="5670"/>
          <w:tab w:val="right" w:pos="9356"/>
        </w:tabs>
        <w:rPr>
          <w:sz w:val="24"/>
          <w:szCs w:val="24"/>
        </w:rPr>
      </w:pPr>
    </w:p>
    <w:p>
      <w:pPr>
        <w:pStyle w:val="Bradford"/>
        <w:keepNext w:val="1"/>
        <w:tabs>
          <w:tab w:val="left" w:pos="5670"/>
          <w:tab w:val="right" w:pos="9356"/>
        </w:tabs>
        <w:rPr>
          <w:sz w:val="24"/>
          <w:szCs w:val="24"/>
        </w:rPr>
      </w:pPr>
      <w:r>
        <w:rPr>
          <w:sz w:val="24"/>
          <w:szCs w:val="24"/>
          <w:rtl w:val="0"/>
          <w:lang w:val="en-US"/>
        </w:rPr>
        <w:t>Talk with the students about</w:t>
      </w:r>
    </w:p>
    <w:p>
      <w:pPr>
        <w:pStyle w:val="Bradford"/>
        <w:keepNext w:val="1"/>
        <w:numPr>
          <w:ilvl w:val="0"/>
          <w:numId w:val="8"/>
        </w:numPr>
        <w:bidi w:val="0"/>
        <w:ind w:right="0"/>
        <w:jc w:val="left"/>
        <w:rPr>
          <w:sz w:val="24"/>
          <w:szCs w:val="24"/>
          <w:rtl w:val="0"/>
          <w:lang w:val="en-US"/>
        </w:rPr>
      </w:pPr>
      <w:r>
        <w:rPr>
          <w:sz w:val="24"/>
          <w:szCs w:val="24"/>
          <w:rtl w:val="0"/>
          <w:lang w:val="en-US"/>
        </w:rPr>
        <w:t>early and late Inuit culture</w:t>
      </w:r>
    </w:p>
    <w:p>
      <w:pPr>
        <w:pStyle w:val="Bradford"/>
        <w:keepNext w:val="1"/>
        <w:numPr>
          <w:ilvl w:val="0"/>
          <w:numId w:val="8"/>
        </w:numPr>
        <w:bidi w:val="0"/>
        <w:ind w:right="0"/>
        <w:jc w:val="left"/>
        <w:rPr>
          <w:sz w:val="24"/>
          <w:szCs w:val="24"/>
          <w:rtl w:val="0"/>
          <w:lang w:val="en-US"/>
        </w:rPr>
      </w:pPr>
      <w:r>
        <w:rPr>
          <w:sz w:val="24"/>
          <w:szCs w:val="24"/>
          <w:rtl w:val="0"/>
          <w:lang w:val="en-US"/>
        </w:rPr>
        <w:t>how a harpoon works</w:t>
      </w:r>
    </w:p>
    <w:p>
      <w:pPr>
        <w:pStyle w:val="Bradford"/>
        <w:keepNext w:val="1"/>
        <w:numPr>
          <w:ilvl w:val="0"/>
          <w:numId w:val="8"/>
        </w:numPr>
        <w:bidi w:val="0"/>
        <w:ind w:right="0"/>
        <w:jc w:val="left"/>
        <w:rPr>
          <w:sz w:val="24"/>
          <w:szCs w:val="24"/>
          <w:rtl w:val="0"/>
          <w:lang w:val="en-US"/>
        </w:rPr>
      </w:pPr>
      <w:r>
        <w:rPr>
          <w:sz w:val="24"/>
          <w:szCs w:val="24"/>
          <w:rtl w:val="0"/>
          <w:lang w:val="en-US"/>
        </w:rPr>
        <w:t>what tools are used for hunting today and what tools they know</w:t>
      </w:r>
    </w:p>
    <w:p>
      <w:pPr>
        <w:pStyle w:val="Bradford"/>
        <w:keepNext w:val="1"/>
        <w:tabs>
          <w:tab w:val="left" w:pos="5670"/>
          <w:tab w:val="right" w:pos="9356"/>
        </w:tabs>
        <w:rPr>
          <w:outline w:val="0"/>
          <w:color w:val="2f5496"/>
          <w:sz w:val="24"/>
          <w:szCs w:val="24"/>
          <w:u w:color="2f5496"/>
          <w14:textFill>
            <w14:solidFill>
              <w14:srgbClr w14:val="2F5496"/>
            </w14:solidFill>
          </w14:textFill>
        </w:rPr>
      </w:pPr>
    </w:p>
    <w:p>
      <w:pPr>
        <w:pStyle w:val="Bradford"/>
        <w:keepNext w:val="1"/>
        <w:tabs>
          <w:tab w:val="left" w:pos="5670"/>
          <w:tab w:val="right" w:pos="9356"/>
        </w:tabs>
      </w:pPr>
      <w:r>
        <w:rPr>
          <w:outline w:val="0"/>
          <w:color w:val="2f5496"/>
          <w:sz w:val="24"/>
          <w:szCs w:val="24"/>
          <w:u w:color="2f5496"/>
          <w:rtl w:val="0"/>
          <w:lang w:val="en-US"/>
          <w14:textFill>
            <w14:solidFill>
              <w14:srgbClr w14:val="2F5496"/>
            </w14:solidFill>
          </w14:textFill>
        </w:rPr>
        <w:t>ULU</w:t>
      </w:r>
      <w:r>
        <w:rPr>
          <w:rtl w:val="0"/>
        </w:rPr>
        <w:tab/>
        <w:tab/>
        <w:t>pp. 14-19</w:t>
      </w:r>
    </w:p>
    <w:p>
      <w:pPr>
        <w:pStyle w:val="Bradford"/>
      </w:pPr>
      <w:r>
        <w:rPr>
          <w:rFonts w:cs="Arial Unicode MS" w:eastAsia="Arial Unicode MS"/>
          <w:rtl w:val="0"/>
          <w:lang w:val="en-US"/>
        </w:rPr>
        <w:t>The students are to examine scrapers and ulus and how they developed over time.</w:t>
      </w:r>
    </w:p>
    <w:p>
      <w:pPr>
        <w:pStyle w:val="Bradford"/>
      </w:pPr>
    </w:p>
    <w:p>
      <w:pPr>
        <w:pStyle w:val="Bradford"/>
      </w:pPr>
      <w:r>
        <w:rPr>
          <w:rFonts w:cs="Arial Unicode MS" w:eastAsia="Arial Unicode MS"/>
          <w:rtl w:val="0"/>
          <w:lang w:val="en-US"/>
        </w:rPr>
        <w:t>Talk with the students about:</w:t>
      </w:r>
    </w:p>
    <w:p>
      <w:pPr>
        <w:pStyle w:val="Bradford"/>
        <w:numPr>
          <w:ilvl w:val="0"/>
          <w:numId w:val="10"/>
        </w:numPr>
        <w:rPr>
          <w:lang w:val="en-US"/>
        </w:rPr>
      </w:pPr>
      <w:r>
        <w:rPr>
          <w:rtl w:val="0"/>
          <w:lang w:val="en-US"/>
        </w:rPr>
        <w:t>how the ulu was developed from the scraper and what materials they are made of</w:t>
      </w:r>
    </w:p>
    <w:p>
      <w:pPr>
        <w:pStyle w:val="Bradford"/>
        <w:numPr>
          <w:ilvl w:val="0"/>
          <w:numId w:val="10"/>
        </w:numPr>
        <w:rPr>
          <w:lang w:val="en-US"/>
        </w:rPr>
      </w:pPr>
      <w:r>
        <w:rPr>
          <w:rtl w:val="0"/>
          <w:lang w:val="en-US"/>
        </w:rPr>
        <w:t>how work was divided between who caught the animals and who cleaned them.</w:t>
      </w:r>
    </w:p>
    <w:p>
      <w:pPr>
        <w:pStyle w:val="Bradford"/>
        <w:numPr>
          <w:ilvl w:val="0"/>
          <w:numId w:val="10"/>
        </w:numPr>
        <w:rPr>
          <w:lang w:val="en-US"/>
        </w:rPr>
      </w:pPr>
      <w:r>
        <w:rPr>
          <w:rtl w:val="0"/>
          <w:lang w:val="en-US"/>
        </w:rPr>
        <w:t>the meaning of symbols and what other female or male symbols the students know. How are such symbols used?</w:t>
      </w:r>
    </w:p>
    <w:p>
      <w:pPr>
        <w:pStyle w:val="Bradford"/>
      </w:pPr>
    </w:p>
    <w:p>
      <w:pPr>
        <w:pStyle w:val="Bradford"/>
        <w:keepNext w:val="1"/>
        <w:tabs>
          <w:tab w:val="left" w:pos="5670"/>
          <w:tab w:val="right" w:pos="9356"/>
        </w:tabs>
      </w:pPr>
      <w:r>
        <w:rPr>
          <w:outline w:val="0"/>
          <w:color w:val="2f5496"/>
          <w:sz w:val="24"/>
          <w:szCs w:val="24"/>
          <w:u w:color="2f5496"/>
          <w:rtl w:val="0"/>
          <w:lang w:val="en-US"/>
          <w14:textFill>
            <w14:solidFill>
              <w14:srgbClr w14:val="2F5496"/>
            </w14:solidFill>
          </w14:textFill>
        </w:rPr>
        <w:t>SOAPSTONE LAMP</w:t>
      </w:r>
      <w:r>
        <w:rPr>
          <w:rtl w:val="0"/>
        </w:rPr>
        <w:tab/>
        <w:tab/>
        <w:t>pp. 20-23</w:t>
      </w:r>
    </w:p>
    <w:p>
      <w:pPr>
        <w:pStyle w:val="Bradford"/>
      </w:pPr>
      <w:r>
        <w:rPr>
          <w:rFonts w:cs="Arial Unicode MS" w:eastAsia="Arial Unicode MS"/>
          <w:rtl w:val="0"/>
          <w:lang w:val="en-US"/>
        </w:rPr>
        <w:t>The students are to examine the soapstone lamp and find out what it was used for and how.</w:t>
      </w:r>
    </w:p>
    <w:p>
      <w:pPr>
        <w:pStyle w:val="Bradford"/>
      </w:pPr>
    </w:p>
    <w:p>
      <w:pPr>
        <w:pStyle w:val="Bradford"/>
      </w:pPr>
      <w:r>
        <w:rPr>
          <w:rFonts w:cs="Arial Unicode MS" w:eastAsia="Arial Unicode MS"/>
          <w:rtl w:val="0"/>
          <w:lang w:val="en-US"/>
        </w:rPr>
        <w:t>Talk with the students about:</w:t>
      </w:r>
    </w:p>
    <w:p>
      <w:pPr>
        <w:pStyle w:val="Bradford"/>
        <w:numPr>
          <w:ilvl w:val="0"/>
          <w:numId w:val="12"/>
        </w:numPr>
        <w:rPr>
          <w:lang w:val="en-US"/>
        </w:rPr>
      </w:pPr>
      <w:r>
        <w:rPr>
          <w:rtl w:val="0"/>
          <w:lang w:val="en-US"/>
        </w:rPr>
        <w:t>how everything from the animal was used: for clothing, food and lighting</w:t>
      </w:r>
    </w:p>
    <w:p>
      <w:pPr>
        <w:pStyle w:val="Bradford"/>
        <w:numPr>
          <w:ilvl w:val="0"/>
          <w:numId w:val="12"/>
        </w:numPr>
        <w:rPr>
          <w:lang w:val="en-US"/>
        </w:rPr>
      </w:pPr>
      <w:r>
        <w:rPr>
          <w:rtl w:val="0"/>
          <w:lang w:val="en-US"/>
        </w:rPr>
        <w:t>how electricity replaced the soapstone lamp and when</w:t>
      </w:r>
    </w:p>
    <w:p>
      <w:pPr>
        <w:pStyle w:val="Bradford"/>
        <w:numPr>
          <w:ilvl w:val="0"/>
          <w:numId w:val="12"/>
        </w:numPr>
        <w:rPr>
          <w:lang w:val="en-US"/>
        </w:rPr>
      </w:pPr>
      <w:r>
        <w:rPr>
          <w:rtl w:val="0"/>
          <w:lang w:val="en-US"/>
        </w:rPr>
        <w:t>what a conductor of heat is, and what materials are good and bad conductors of heat</w:t>
      </w:r>
    </w:p>
    <w:p>
      <w:pPr>
        <w:pStyle w:val="Bradford"/>
      </w:pPr>
    </w:p>
    <w:p>
      <w:pPr>
        <w:pStyle w:val="Bradford"/>
        <w:keepNext w:val="1"/>
        <w:tabs>
          <w:tab w:val="left" w:pos="5670"/>
          <w:tab w:val="right" w:pos="9356"/>
        </w:tabs>
      </w:pPr>
    </w:p>
    <w:p>
      <w:pPr>
        <w:pStyle w:val="Bradford"/>
        <w:keepNext w:val="1"/>
        <w:tabs>
          <w:tab w:val="left" w:pos="5670"/>
          <w:tab w:val="right" w:pos="9356"/>
        </w:tabs>
      </w:pPr>
      <w:r>
        <w:rPr>
          <w:outline w:val="0"/>
          <w:color w:val="2f5496"/>
          <w:sz w:val="24"/>
          <w:szCs w:val="24"/>
          <w:u w:color="2f5496"/>
          <w:rtl w:val="0"/>
          <w:lang w:val="en-US"/>
          <w14:textFill>
            <w14:solidFill>
              <w14:srgbClr w14:val="2F5496"/>
            </w14:solidFill>
          </w14:textFill>
        </w:rPr>
        <w:t>THE TABLE MODEL</w:t>
      </w:r>
      <w:r>
        <w:tab/>
        <w:tab/>
      </w:r>
    </w:p>
    <w:p>
      <w:pPr>
        <w:pStyle w:val="Bradford"/>
      </w:pPr>
      <w:r>
        <w:rPr>
          <w:rFonts w:cs="Arial Unicode MS" w:eastAsia="Arial Unicode MS"/>
          <w:rtl w:val="0"/>
          <w:lang w:val="en-US"/>
        </w:rPr>
        <w:t>The table model shows the settlement Sermermiut during four periods:</w:t>
      </w:r>
    </w:p>
    <w:p>
      <w:pPr>
        <w:pStyle w:val="Bradford"/>
        <w:numPr>
          <w:ilvl w:val="0"/>
          <w:numId w:val="14"/>
        </w:numPr>
        <w:rPr>
          <w:lang w:val="en-US"/>
        </w:rPr>
      </w:pPr>
      <w:r>
        <w:rPr>
          <w:rtl w:val="0"/>
          <w:lang w:val="en-US"/>
        </w:rPr>
        <w:t>2500 BC-0</w:t>
      </w:r>
    </w:p>
    <w:p>
      <w:pPr>
        <w:pStyle w:val="Bradford"/>
        <w:numPr>
          <w:ilvl w:val="0"/>
          <w:numId w:val="14"/>
        </w:numPr>
        <w:rPr>
          <w:lang w:val="en-US"/>
        </w:rPr>
      </w:pPr>
      <w:r>
        <w:rPr>
          <w:rtl w:val="0"/>
          <w:lang w:val="en-US"/>
        </w:rPr>
        <w:t>0-1200</w:t>
      </w:r>
    </w:p>
    <w:p>
      <w:pPr>
        <w:pStyle w:val="Bradford"/>
        <w:numPr>
          <w:ilvl w:val="0"/>
          <w:numId w:val="14"/>
        </w:numPr>
        <w:rPr>
          <w:lang w:val="en-US"/>
        </w:rPr>
      </w:pPr>
      <w:r>
        <w:rPr>
          <w:rtl w:val="0"/>
          <w:lang w:val="en-US"/>
        </w:rPr>
        <w:t>1200-1600</w:t>
      </w:r>
    </w:p>
    <w:p>
      <w:pPr>
        <w:pStyle w:val="Bradford"/>
        <w:numPr>
          <w:ilvl w:val="0"/>
          <w:numId w:val="14"/>
        </w:numPr>
        <w:rPr>
          <w:lang w:val="en-US"/>
        </w:rPr>
      </w:pPr>
      <w:r>
        <w:rPr>
          <w:rtl w:val="0"/>
          <w:lang w:val="en-US"/>
        </w:rPr>
        <w:t>1741 to the present</w:t>
      </w:r>
    </w:p>
    <w:p>
      <w:pPr>
        <w:pStyle w:val="Bradford"/>
      </w:pPr>
    </w:p>
    <w:p>
      <w:pPr>
        <w:pStyle w:val="Bradford"/>
      </w:pPr>
      <w:r>
        <w:rPr>
          <w:rFonts w:cs="Arial Unicode MS" w:eastAsia="Arial Unicode MS"/>
          <w:rtl w:val="0"/>
          <w:lang w:val="en-US"/>
        </w:rPr>
        <w:t>Let the students read the introductory text to each of the four periods, before watching the animation. You find the text at the bottom of the model.</w:t>
      </w:r>
    </w:p>
    <w:p>
      <w:pPr>
        <w:pStyle w:val="Bradford"/>
      </w:pPr>
    </w:p>
    <w:p>
      <w:pPr>
        <w:pStyle w:val="Bradford"/>
      </w:pPr>
      <w:r>
        <w:rPr>
          <w:rFonts w:cs="Arial Unicode MS" w:eastAsia="Arial Unicode MS"/>
          <w:rtl w:val="0"/>
          <w:lang w:val="en-US"/>
        </w:rPr>
        <w:t>Talk with the students about:</w:t>
      </w:r>
    </w:p>
    <w:p>
      <w:pPr>
        <w:pStyle w:val="Bradford"/>
        <w:numPr>
          <w:ilvl w:val="0"/>
          <w:numId w:val="16"/>
        </w:numPr>
        <w:rPr>
          <w:lang w:val="en-US"/>
        </w:rPr>
      </w:pPr>
      <w:r>
        <w:rPr>
          <w:rtl w:val="0"/>
          <w:lang w:val="en-US"/>
        </w:rPr>
        <w:t>what cultures have settled in the area</w:t>
      </w:r>
    </w:p>
    <w:p>
      <w:pPr>
        <w:pStyle w:val="Bradford"/>
        <w:numPr>
          <w:ilvl w:val="0"/>
          <w:numId w:val="16"/>
        </w:numPr>
        <w:rPr>
          <w:lang w:val="en-US"/>
        </w:rPr>
      </w:pPr>
      <w:r>
        <w:rPr>
          <w:rtl w:val="0"/>
          <w:lang w:val="en-US"/>
        </w:rPr>
        <w:t>what hunting tools are used in the animations</w:t>
      </w:r>
    </w:p>
    <w:p>
      <w:pPr>
        <w:pStyle w:val="Bradford"/>
        <w:numPr>
          <w:ilvl w:val="0"/>
          <w:numId w:val="16"/>
        </w:numPr>
        <w:rPr>
          <w:lang w:val="en-US"/>
        </w:rPr>
      </w:pPr>
      <w:r>
        <w:rPr>
          <w:rtl w:val="0"/>
          <w:lang w:val="en-US"/>
        </w:rPr>
        <w:t>the cultures of these peoples and that few traces are left of them having lived there. Would it be the same if all people left the town you live in?</w:t>
      </w:r>
    </w:p>
    <w:p>
      <w:pPr>
        <w:pStyle w:val="Brødtekst"/>
      </w:pPr>
    </w:p>
    <w:p>
      <w:pPr>
        <w:pStyle w:val="heading 2"/>
        <w:pBdr>
          <w:top w:val="nil"/>
          <w:left w:val="nil"/>
          <w:bottom w:val="dashed" w:color="0070c0" w:sz="4" w:space="0" w:shadow="0" w:frame="0"/>
          <w:right w:val="nil"/>
        </w:pBdr>
        <w:rPr>
          <w:rFonts w:ascii="Bradford LL Light" w:cs="Bradford LL Light" w:hAnsi="Bradford LL Light" w:eastAsia="Bradford LL Light"/>
        </w:rPr>
      </w:pPr>
      <w:r>
        <w:rPr>
          <w:rFonts w:ascii="Bradford LL Light" w:hAnsi="Bradford LL Light"/>
          <w:rtl w:val="0"/>
          <w:lang w:val="en-US"/>
        </w:rPr>
        <w:t xml:space="preserve">Further suggestions for work after the visit </w:t>
      </w:r>
    </w:p>
    <w:p>
      <w:pPr>
        <w:pStyle w:val="Brødtekst"/>
      </w:pPr>
    </w:p>
    <w:p>
      <w:pPr>
        <w:pStyle w:val="Brødtekst"/>
      </w:pPr>
      <w:r>
        <w:rPr>
          <w:rtl w:val="0"/>
          <w:lang w:val="en-US"/>
        </w:rPr>
        <w:t>Hold a review in class and have the students talk about their answers in small groups.  It is important that each student comes up with his or her answer. The group selects the best answers, which are shared with the whole class.</w:t>
      </w:r>
    </w:p>
    <w:p>
      <w:pPr>
        <w:pStyle w:val="Brødtekst"/>
      </w:pPr>
    </w:p>
    <w:p>
      <w:pPr>
        <w:pStyle w:val="Brødtekst"/>
      </w:pPr>
      <w:r>
        <w:rPr>
          <w:rtl w:val="0"/>
          <w:lang w:val="en-US"/>
        </w:rPr>
        <w:t>You could continue working with these topics:</w:t>
      </w:r>
    </w:p>
    <w:p>
      <w:pPr>
        <w:pStyle w:val="List Paragraph"/>
        <w:numPr>
          <w:ilvl w:val="0"/>
          <w:numId w:val="18"/>
        </w:numPr>
        <w:rPr>
          <w:lang w:val="en-US"/>
        </w:rPr>
      </w:pPr>
      <w:r>
        <w:rPr>
          <w:rtl w:val="0"/>
          <w:lang w:val="en-US"/>
        </w:rPr>
        <w:t>the immigrations</w:t>
      </w:r>
    </w:p>
    <w:p>
      <w:pPr>
        <w:pStyle w:val="List Paragraph"/>
        <w:numPr>
          <w:ilvl w:val="0"/>
          <w:numId w:val="18"/>
        </w:numPr>
        <w:rPr>
          <w:lang w:val="en-US"/>
        </w:rPr>
      </w:pPr>
      <w:r>
        <w:rPr>
          <w:rtl w:val="0"/>
          <w:lang w:val="en-US"/>
        </w:rPr>
        <w:t>symbolism, and how female and male has been represented through time and today.</w:t>
      </w:r>
    </w:p>
    <w:p>
      <w:pPr>
        <w:pStyle w:val="Brødtekst"/>
      </w:pPr>
    </w:p>
    <w:p>
      <w:pPr>
        <w:pStyle w:val="Brødtekst"/>
      </w:pPr>
      <w:r>
        <w:rPr>
          <w:rtl w:val="0"/>
          <w:lang w:val="en-US"/>
        </w:rPr>
        <w:t xml:space="preserve">On the learning platform of the Icefjord Centre you will find additional material for </w:t>
      </w:r>
      <w:r>
        <w:rPr>
          <w:rStyle w:val="Hyperlink.0"/>
        </w:rPr>
        <w:fldChar w:fldCharType="begin" w:fldLock="0"/>
      </w:r>
      <w:r>
        <w:rPr>
          <w:rStyle w:val="Hyperlink.0"/>
        </w:rPr>
        <w:instrText xml:space="preserve"> HYPERLINK "https://isfjordscentret.gl/en/the-sermermiut-settlement-oldest-level/"</w:instrText>
      </w:r>
      <w:r>
        <w:rPr>
          <w:rStyle w:val="Hyperlink.0"/>
        </w:rPr>
        <w:fldChar w:fldCharType="separate" w:fldLock="0"/>
      </w:r>
      <w:r>
        <w:rPr>
          <w:rStyle w:val="Hyperlink.0"/>
          <w:rtl w:val="0"/>
          <w:lang w:val="en-US"/>
        </w:rPr>
        <w:t>The Sermermiut settlement.</w:t>
      </w:r>
      <w:r>
        <w:rPr/>
        <w:fldChar w:fldCharType="end" w:fldLock="0"/>
      </w:r>
      <w:r>
        <w:rPr>
          <w:i w:val="1"/>
          <w:iCs w:val="1"/>
          <w:rtl w:val="0"/>
        </w:rPr>
        <w:t xml:space="preserve"> </w:t>
      </w:r>
    </w:p>
    <w:sectPr>
      <w:headerReference w:type="default" r:id="rId4"/>
      <w:footerReference w:type="default" r:id="rId5"/>
      <w:pgSz w:w="11900" w:h="16840" w:orient="portrait"/>
      <w:pgMar w:top="1134"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radford LL">
    <w:charset w:val="00"/>
    <w:family w:val="roman"/>
    <w:pitch w:val="default"/>
  </w:font>
  <w:font w:name="Bookman Old Style">
    <w:charset w:val="00"/>
    <w:family w:val="roman"/>
    <w:pitch w:val="default"/>
  </w:font>
  <w:font w:name="Calibri Light">
    <w:charset w:val="00"/>
    <w:family w:val="roman"/>
    <w:pitch w:val="default"/>
  </w:font>
  <w:font w:name="Bradford LL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ret format 1"/>
  </w:abstractNum>
  <w:abstractNum w:abstractNumId="1">
    <w:multiLevelType w:val="hybridMultilevel"/>
    <w:styleLink w:val="Importeret format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ret format 2"/>
  </w:abstractNum>
  <w:abstractNum w:abstractNumId="3">
    <w:multiLevelType w:val="hybridMultilevel"/>
    <w:styleLink w:val="Importeret format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ret format 3"/>
  </w:abstractNum>
  <w:abstractNum w:abstractNumId="5">
    <w:multiLevelType w:val="hybridMultilevel"/>
    <w:styleLink w:val="Importeret format 3"/>
    <w:lvl w:ilvl="0">
      <w:start w:val="1"/>
      <w:numFmt w:val="bullet"/>
      <w:suff w:val="tab"/>
      <w:lvlText w:val="·"/>
      <w:lvlJc w:val="left"/>
      <w:pPr>
        <w:tabs>
          <w:tab w:val="left" w:pos="340"/>
          <w:tab w:val="left" w:pos="5670"/>
          <w:tab w:val="right" w:pos="9356"/>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 w:val="left" w:pos="5670"/>
          <w:tab w:val="right" w:pos="9356"/>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 w:val="left" w:pos="5670"/>
          <w:tab w:val="right" w:pos="9356"/>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 w:val="left" w:pos="5670"/>
          <w:tab w:val="right" w:pos="9356"/>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 w:val="left" w:pos="5670"/>
          <w:tab w:val="right" w:pos="9356"/>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 w:val="left" w:pos="5670"/>
          <w:tab w:val="right" w:pos="9356"/>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 w:val="left" w:pos="5670"/>
          <w:tab w:val="right" w:pos="9356"/>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 w:val="right" w:pos="9356"/>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 w:val="left" w:pos="5670"/>
          <w:tab w:val="right" w:pos="9356"/>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ret format 4"/>
  </w:abstractNum>
  <w:abstractNum w:abstractNumId="7">
    <w:multiLevelType w:val="hybridMultilevel"/>
    <w:styleLink w:val="Importeret format 4"/>
    <w:lvl w:ilvl="0">
      <w:start w:val="1"/>
      <w:numFmt w:val="bullet"/>
      <w:suff w:val="tab"/>
      <w:lvlText w:val="·"/>
      <w:lvlJc w:val="left"/>
      <w:pPr>
        <w:tabs>
          <w:tab w:val="left" w:pos="340"/>
          <w:tab w:val="left" w:pos="5670"/>
          <w:tab w:val="right" w:pos="9356"/>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 w:val="left" w:pos="5670"/>
          <w:tab w:val="right" w:pos="9356"/>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 w:val="left" w:pos="5670"/>
          <w:tab w:val="right" w:pos="9356"/>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 w:val="left" w:pos="5670"/>
          <w:tab w:val="right" w:pos="9356"/>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 w:val="left" w:pos="5670"/>
          <w:tab w:val="right" w:pos="9356"/>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 w:val="left" w:pos="5670"/>
          <w:tab w:val="right" w:pos="9356"/>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 w:val="left" w:pos="5670"/>
          <w:tab w:val="right" w:pos="9356"/>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 w:val="right" w:pos="9356"/>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 w:val="left" w:pos="5670"/>
          <w:tab w:val="right" w:pos="9356"/>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ret format 5"/>
  </w:abstractNum>
  <w:abstractNum w:abstractNumId="9">
    <w:multiLevelType w:val="hybridMultilevel"/>
    <w:styleLink w:val="Importeret format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ret format 6"/>
  </w:abstractNum>
  <w:abstractNum w:abstractNumId="11">
    <w:multiLevelType w:val="hybridMultilevel"/>
    <w:styleLink w:val="Importeret format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ret format 7"/>
  </w:abstractNum>
  <w:abstractNum w:abstractNumId="13">
    <w:multiLevelType w:val="hybridMultilevel"/>
    <w:styleLink w:val="Importeret format 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ret format 8"/>
  </w:abstractNum>
  <w:abstractNum w:abstractNumId="15">
    <w:multiLevelType w:val="hybridMultilevel"/>
    <w:styleLink w:val="Importeret format 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ret format 9"/>
  </w:abstractNum>
  <w:abstractNum w:abstractNumId="17">
    <w:multiLevelType w:val="hybridMultilevel"/>
    <w:styleLink w:val="Importeret format 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1304"/>
  <w:autoHyphenation w:val="1"/>
  <w:evenAndOddHeaders w:val="0"/>
  <w:bookFoldPrinting w:val="0"/>
  <w:noLineBreaksAfter w:lang="dansk" w:val="‘“(〔[{〈《「『【⦅〘〖«〝︵︷︹︻︽︿﹁﹃﹇﹙﹛﹝｢"/>
  <w:noLineBreaksBefore w:lang="dansk"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idehoved &amp; sidefod">
    <w:name w:val="Sidehoved &amp; sidefod"/>
    <w:next w:val="Sidehoved &amp; sidefod"/>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rødtekst">
    <w:name w:val="Brødtekst"/>
    <w:next w:val="Brødtekst"/>
    <w:pPr>
      <w:keepNext w:val="0"/>
      <w:keepLines w:val="0"/>
      <w:pageBreakBefore w:val="0"/>
      <w:widowControl w:val="0"/>
      <w:shd w:val="clear" w:color="auto" w:fill="auto"/>
      <w:tabs>
        <w:tab w:val="left" w:pos="340"/>
      </w:tabs>
      <w:suppressAutoHyphens w:val="1"/>
      <w:bidi w:val="0"/>
      <w:spacing w:before="0" w:after="0" w:line="276" w:lineRule="auto"/>
      <w:ind w:left="0" w:right="0" w:firstLine="0"/>
      <w:jc w:val="left"/>
      <w:outlineLvl w:val="9"/>
    </w:pPr>
    <w:rPr>
      <w:rFonts w:ascii="Bradford LL" w:cs="Arial Unicode MS" w:hAnsi="Bradford L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heading 1">
    <w:name w:val="heading 1"/>
    <w:next w:val="Brødtekst"/>
    <w:pPr>
      <w:keepNext w:val="1"/>
      <w:keepLines w:val="1"/>
      <w:pageBreakBefore w:val="0"/>
      <w:widowControl w:val="0"/>
      <w:shd w:val="clear" w:color="auto" w:fill="auto"/>
      <w:tabs>
        <w:tab w:val="left" w:pos="340"/>
      </w:tabs>
      <w:suppressAutoHyphens w:val="1"/>
      <w:bidi w:val="0"/>
      <w:spacing w:before="240" w:after="0" w:line="276" w:lineRule="auto"/>
      <w:ind w:left="0" w:right="0" w:firstLine="0"/>
      <w:jc w:val="left"/>
      <w:outlineLvl w:val="0"/>
    </w:pPr>
    <w:rPr>
      <w:rFonts w:ascii="Bradford LL" w:cs="Bradford LL" w:hAnsi="Bradford LL" w:eastAsia="Bradford LL"/>
      <w:b w:val="0"/>
      <w:bCs w:val="0"/>
      <w:i w:val="0"/>
      <w:iCs w:val="0"/>
      <w:caps w:val="0"/>
      <w:smallCaps w:val="0"/>
      <w:strike w:val="0"/>
      <w:dstrike w:val="0"/>
      <w:outline w:val="0"/>
      <w:color w:val="2f5496"/>
      <w:spacing w:val="0"/>
      <w:kern w:val="0"/>
      <w:position w:val="0"/>
      <w:sz w:val="24"/>
      <w:szCs w:val="24"/>
      <w:u w:val="none" w:color="2f5496"/>
      <w:shd w:val="nil" w:color="auto" w:fill="auto"/>
      <w:vertAlign w:val="baseline"/>
      <w:lang w:val="en-US"/>
      <w14:textFill>
        <w14:solidFill>
          <w14:srgbClr w14:val="2F5496"/>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 w:type="paragraph" w:styleId="List Paragraph">
    <w:name w:val="List Paragraph"/>
    <w:next w:val="List Paragraph"/>
    <w:pPr>
      <w:keepNext w:val="0"/>
      <w:keepLines w:val="0"/>
      <w:pageBreakBefore w:val="0"/>
      <w:widowControl w:val="0"/>
      <w:shd w:val="clear" w:color="auto" w:fill="auto"/>
      <w:tabs>
        <w:tab w:val="left" w:pos="340"/>
      </w:tabs>
      <w:suppressAutoHyphens w:val="1"/>
      <w:bidi w:val="0"/>
      <w:spacing w:before="0" w:after="0" w:line="276" w:lineRule="auto"/>
      <w:ind w:left="720" w:right="0" w:firstLine="0"/>
      <w:jc w:val="left"/>
      <w:outlineLvl w:val="9"/>
    </w:pPr>
    <w:rPr>
      <w:rFonts w:ascii="Bradford LL" w:cs="Arial Unicode MS" w:hAnsi="Bradford L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ret format 1">
    <w:name w:val="Importeret format 1"/>
    <w:pPr>
      <w:numPr>
        <w:numId w:val="1"/>
      </w:numPr>
    </w:pPr>
  </w:style>
  <w:style w:type="numbering" w:styleId="Importeret format 2">
    <w:name w:val="Importeret format 2"/>
    <w:pPr>
      <w:numPr>
        <w:numId w:val="3"/>
      </w:numPr>
    </w:pPr>
  </w:style>
  <w:style w:type="numbering" w:styleId="Importeret format 3">
    <w:name w:val="Importeret format 3"/>
    <w:pPr>
      <w:numPr>
        <w:numId w:val="5"/>
      </w:numPr>
    </w:pPr>
  </w:style>
  <w:style w:type="paragraph" w:styleId="heading 2">
    <w:name w:val="heading 2"/>
    <w:next w:val="Brødtekst"/>
    <w:pPr>
      <w:keepNext w:val="1"/>
      <w:keepLines w:val="1"/>
      <w:pageBreakBefore w:val="0"/>
      <w:widowControl w:val="0"/>
      <w:shd w:val="clear" w:color="auto" w:fill="auto"/>
      <w:tabs>
        <w:tab w:val="left" w:pos="340"/>
      </w:tabs>
      <w:suppressAutoHyphens w:val="1"/>
      <w:bidi w:val="0"/>
      <w:spacing w:before="40" w:after="0" w:line="276" w:lineRule="auto"/>
      <w:ind w:left="0" w:right="0" w:firstLine="0"/>
      <w:jc w:val="left"/>
      <w:outlineLvl w:val="1"/>
    </w:pPr>
    <w:rPr>
      <w:rFonts w:ascii="Calibri Light" w:cs="Calibri Light" w:hAnsi="Calibri Light" w:eastAsia="Calibri Light"/>
      <w:b w:val="0"/>
      <w:bCs w:val="0"/>
      <w:i w:val="0"/>
      <w:iCs w:val="0"/>
      <w:caps w:val="0"/>
      <w:smallCaps w:val="0"/>
      <w:strike w:val="0"/>
      <w:dstrike w:val="0"/>
      <w:outline w:val="0"/>
      <w:color w:val="2f5496"/>
      <w:spacing w:val="0"/>
      <w:kern w:val="0"/>
      <w:position w:val="0"/>
      <w:sz w:val="26"/>
      <w:szCs w:val="26"/>
      <w:u w:val="none" w:color="2f5496"/>
      <w:shd w:val="nil" w:color="auto" w:fill="auto"/>
      <w:vertAlign w:val="baseline"/>
      <w:lang w:val="en-US"/>
      <w14:textFill>
        <w14:solidFill>
          <w14:srgbClr w14:val="2F5496"/>
        </w14:solidFill>
      </w14:textFill>
    </w:rPr>
  </w:style>
  <w:style w:type="paragraph" w:styleId="Bradford">
    <w:name w:val="Bradford"/>
    <w:next w:val="Bradford"/>
    <w:pPr>
      <w:keepNext w:val="0"/>
      <w:keepLines w:val="0"/>
      <w:pageBreakBefore w:val="0"/>
      <w:widowControl w:val="0"/>
      <w:shd w:val="clear" w:color="auto" w:fill="auto"/>
      <w:tabs>
        <w:tab w:val="left" w:pos="340"/>
      </w:tabs>
      <w:suppressAutoHyphens w:val="1"/>
      <w:bidi w:val="0"/>
      <w:spacing w:before="0" w:after="0" w:line="276" w:lineRule="auto"/>
      <w:ind w:left="0" w:right="0" w:firstLine="0"/>
      <w:jc w:val="left"/>
      <w:outlineLvl w:val="9"/>
    </w:pPr>
    <w:rPr>
      <w:rFonts w:ascii="Bradford LL" w:cs="Bradford LL" w:hAnsi="Bradford LL" w:eastAsia="Bradford L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ret format 4">
    <w:name w:val="Importeret format 4"/>
    <w:pPr>
      <w:numPr>
        <w:numId w:val="7"/>
      </w:numPr>
    </w:pPr>
  </w:style>
  <w:style w:type="numbering" w:styleId="Importeret format 5">
    <w:name w:val="Importeret format 5"/>
    <w:pPr>
      <w:numPr>
        <w:numId w:val="9"/>
      </w:numPr>
    </w:pPr>
  </w:style>
  <w:style w:type="numbering" w:styleId="Importeret format 6">
    <w:name w:val="Importeret format 6"/>
    <w:pPr>
      <w:numPr>
        <w:numId w:val="11"/>
      </w:numPr>
    </w:pPr>
  </w:style>
  <w:style w:type="numbering" w:styleId="Importeret format 7">
    <w:name w:val="Importeret format 7"/>
    <w:pPr>
      <w:numPr>
        <w:numId w:val="13"/>
      </w:numPr>
    </w:pPr>
  </w:style>
  <w:style w:type="numbering" w:styleId="Importeret format 8">
    <w:name w:val="Importeret format 8"/>
    <w:pPr>
      <w:numPr>
        <w:numId w:val="15"/>
      </w:numPr>
    </w:pPr>
  </w:style>
  <w:style w:type="numbering" w:styleId="Importeret format 9">
    <w:name w:val="Importeret format 9"/>
    <w:pPr>
      <w:numPr>
        <w:numId w:val="1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tema">
  <a:themeElements>
    <a:clrScheme name="Office-t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