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6" cy="771527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6" cy="771527"/>
                          <a:chOff x="0" y="0"/>
                          <a:chExt cx="1704975" cy="771526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04976" cy="77152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1758" y="119336"/>
                            <a:ext cx="1101459" cy="5328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1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0" coordsize="1704976,771526">
                <w10:wrap type="none" side="bothSides" anchorx="text" anchory="page"/>
                <v:oval id="_x0000_s1027" style="position:absolute;left:0;top:0;width:1704976;height:77152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7;width:1101459;height:5328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Sermermiut-bopladsen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Mellemtrinnet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"https://isfjordscentret.gl/da/sermermiut-bopladsen-mellemtrinnet/"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en grundplan over udstillingen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Fonts w:ascii="Bradford LL" w:hAnsi="Bradford LL"/>
          <w:rtl w:val="0"/>
          <w:lang w:val="da-DK"/>
        </w:rPr>
        <w:t xml:space="preserve">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"https://issuu.com/isfjordscentret/docs/sermermiut_final?fr=xKAE9_zU1NQ"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da-DK"/>
        </w:rPr>
        <w:t>Sermermiut-Bopladsen</w:t>
      </w:r>
      <w:r>
        <w:rPr/>
        <w:fldChar w:fldCharType="end" w:fldLock="0"/>
      </w:r>
      <w:r>
        <w:rPr>
          <w:rFonts w:ascii="Bradford LL" w:hAnsi="Bradford LL"/>
          <w:rtl w:val="0"/>
        </w:rPr>
        <w:t xml:space="preserve"> 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"/>
        <w:tabs>
          <w:tab w:val="right" w:pos="9356"/>
        </w:tabs>
      </w:pPr>
      <w:r>
        <w:rPr>
          <w:rtl w:val="0"/>
        </w:rPr>
        <w:t>Historie og naturfagene, fokus p</w:t>
      </w:r>
      <w:r>
        <w:rPr>
          <w:rtl w:val="0"/>
        </w:rPr>
        <w:t>å ø</w:t>
      </w:r>
      <w:r>
        <w:rPr>
          <w:rtl w:val="0"/>
          <w:lang w:val="da-DK"/>
        </w:rPr>
        <w:t>velse i fordybelse samt skriftlig og mundtlig kommunikation.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eleverne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 viden om udviklingen af fangstredskaber og brugsgenstande gennem flere tusinde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de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en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rlig viden om bopladsen Sermermiut og indvandringerne af </w:t>
      </w:r>
      <w:r>
        <w:rPr>
          <w:i w:val="1"/>
          <w:iCs w:val="1"/>
          <w:rtl w:val="0"/>
          <w:lang w:val="da-DK"/>
        </w:rPr>
        <w:t xml:space="preserve">Saqqaqfolket, Dorsetfolket </w:t>
      </w:r>
      <w:r>
        <w:rPr>
          <w:rtl w:val="0"/>
          <w:lang w:val="da-DK"/>
        </w:rPr>
        <w:t>og</w:t>
      </w:r>
      <w:r>
        <w:rPr>
          <w:i w:val="1"/>
          <w:iCs w:val="1"/>
          <w:rtl w:val="0"/>
          <w:lang w:val="da-DK"/>
        </w:rPr>
        <w:t xml:space="preserve"> Thulefolket</w:t>
      </w:r>
      <w:r>
        <w:rPr>
          <w:rtl w:val="0"/>
          <w:lang w:val="da-DK"/>
        </w:rPr>
        <w:t>.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Start med at lade eleverne g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  <w:lang w:val="da-DK"/>
        </w:rPr>
        <w:t>opdagelse i udstillingen. Saml dem herefter i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grundplanen og lad dem finde isskosserne og bordmodellen, som repr</w:t>
      </w:r>
      <w:r>
        <w:rPr>
          <w:rtl w:val="0"/>
          <w:lang w:val="da-DK"/>
        </w:rPr>
        <w:t>æ</w:t>
      </w:r>
      <w:r>
        <w:rPr>
          <w:rtl w:val="0"/>
        </w:rPr>
        <w:t xml:space="preserve">senterer </w:t>
      </w:r>
      <w:r>
        <w:rPr>
          <w:i w:val="1"/>
          <w:iCs w:val="1"/>
          <w:rtl w:val="0"/>
          <w:lang w:val="da-DK"/>
        </w:rPr>
        <w:t>Sermermiut-bopladsen.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</w:rPr>
        <w:t>arkene med eleverne, s</w:t>
      </w:r>
      <w:r>
        <w:rPr>
          <w:rtl w:val="0"/>
        </w:rPr>
        <w:t xml:space="preserve">å </w:t>
      </w:r>
      <w:r>
        <w:rPr>
          <w:rtl w:val="0"/>
          <w:lang w:val="da-DK"/>
        </w:rPr>
        <w:t>de ikke er i tvivl om hvad opgaven er.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infoarkets forside er der en kort tekst.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svararket er der to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til hver af de 3 isskosser og bordmodellen. Ud for hvert billede af isskosserne er der en cirkel med et bogstav i. Disse bogstaver skal de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 sammen og tilf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je et h og et r,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 danner kodeordet. (harpun)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</w:rPr>
        <w:t>Foretr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kker man at arbejde digitalt, kan man finde materialet 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"https://isfjordscentret.gl/da/sermermiut-bopladsen-mellemtrinnet/"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Lad nu eleverne g</w:t>
      </w:r>
      <w:r>
        <w:rPr>
          <w:rtl w:val="0"/>
        </w:rPr>
        <w:t xml:space="preserve">å </w:t>
      </w:r>
      <w:r>
        <w:rPr>
          <w:rtl w:val="0"/>
        </w:rPr>
        <w:t>til isskosserne. Instruer dem i at se n</w:t>
      </w:r>
      <w:r>
        <w:rPr>
          <w:rtl w:val="0"/>
          <w:lang w:val="da-DK"/>
        </w:rPr>
        <w:t>ø</w:t>
      </w:r>
      <w:r>
        <w:rPr>
          <w:rtl w:val="0"/>
        </w:rPr>
        <w:t>je p</w:t>
      </w:r>
      <w:r>
        <w:rPr>
          <w:rtl w:val="0"/>
        </w:rPr>
        <w:t xml:space="preserve">å </w:t>
      </w:r>
      <w:r>
        <w:rPr>
          <w:rtl w:val="0"/>
          <w:lang w:val="da-DK"/>
        </w:rPr>
        <w:t>dem, inden de 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gang med at svare p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lene. Opfordr dem gerne til at komme med undringssp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get</w:t>
      </w: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BILLEDET P</w:t>
      </w:r>
      <w:r>
        <w:rPr>
          <w:rFonts w:ascii="Bookman Old Style" w:hAnsi="Bookman Old Style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Å </w:t>
      </w: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FORSIDEN AF INFO-ARKET s. 4-5 i bogen</w:t>
      </w: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</w:pPr>
      <w:r>
        <w:rPr>
          <w:rtl w:val="0"/>
          <w:lang w:val="da-DK"/>
        </w:rPr>
        <w:t>Lad eleverne studere billedet og tal om stedets egnethed som boplads. Teksten til billedet:</w:t>
      </w:r>
    </w:p>
    <w:p>
      <w:pPr>
        <w:pStyle w:val="Brødtekst"/>
        <w:rPr>
          <w:i w:val="1"/>
          <w:iCs w:val="1"/>
        </w:rPr>
      </w:pPr>
      <w:r>
        <w:rPr>
          <w:i w:val="1"/>
          <w:iCs w:val="1"/>
          <w:rtl w:val="0"/>
          <w:lang w:val="da-DK"/>
        </w:rPr>
        <w:t>Den tidligere boplads i Sermermiut ligger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  <w:lang w:val="da-DK"/>
        </w:rPr>
        <w:t>klinten i bunden af bugten.</w:t>
      </w: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FANGSTREDSKABER </w:t>
      </w:r>
      <w:r>
        <w:rPr>
          <w:rFonts w:ascii="Bookman Old Style" w:cs="Bookman Old Style" w:hAnsi="Bookman Old Style" w:eastAsia="Bookman Old Style"/>
          <w:rtl w:val="0"/>
        </w:rPr>
        <w:tab/>
        <w:t>s. 6-13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isskossen er der ark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ologiske fund af fire harpunhoveder. Eleverne skal bestemme, hvad de er lavet af.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 xml:space="preserve">side 8 og 9 kan de finde svar. 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dem om at stenspidserne stammer fra tidlig dorsetkultur og harpunhovederne fra tidlig inuitkultur og sen inuitkultur.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ULU</w:t>
      </w:r>
      <w:r>
        <w:rPr>
          <w:rFonts w:ascii="Bookman Old Style" w:cs="Bookman Old Style" w:hAnsi="Bookman Old Style" w:eastAsia="Bookman Old Style"/>
          <w:rtl w:val="0"/>
        </w:rPr>
        <w:tab/>
        <w:t>s. 14-19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isskossen er ark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ologiske fund af tre skrabere og en ulu. Eleverne skal bestemme, hvad skraberne og uluen er lavet af.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bogen side 16 og 17 er der tre billeder af ark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ologiske fund: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 xml:space="preserve">skrabere af stenen </w:t>
      </w:r>
      <w:r>
        <w:rPr>
          <w:rFonts w:ascii="Bookman Old Style" w:hAnsi="Bookman Old Style"/>
          <w:i w:val="1"/>
          <w:iCs w:val="1"/>
          <w:rtl w:val="0"/>
          <w:lang w:val="da-DK"/>
        </w:rPr>
        <w:t>kalcedon</w:t>
      </w:r>
      <w:r>
        <w:rPr>
          <w:rFonts w:ascii="Bookman Old Style" w:hAnsi="Bookman Old Style"/>
          <w:rtl w:val="0"/>
          <w:lang w:val="da-DK"/>
        </w:rPr>
        <w:t xml:space="preserve">. Dorset-kultur. 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ulu (kvindekniv) med nedslidt jernblad og h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ndtag af rensdyrtak. Sen inuitkultur.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ulu (kvindekniv) af jern med h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ndtag af narhvalstand. Sen inuitkultur.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 at Dorsetfolket kom til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nland omkring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 xml:space="preserve">r 500 f.v.t. og levede der i ca. 800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 xml:space="preserve">r </w:t>
      </w:r>
      <w:r>
        <w:rPr>
          <w:rFonts w:ascii="Bookman Old Style" w:hAnsi="Bookman Old Style" w:hint="default"/>
          <w:rtl w:val="0"/>
          <w:lang w:val="da-DK"/>
        </w:rPr>
        <w:t xml:space="preserve">– </w:t>
      </w:r>
      <w:r>
        <w:rPr>
          <w:rFonts w:ascii="Bookman Old Style" w:hAnsi="Bookman Old Style"/>
          <w:rtl w:val="0"/>
          <w:lang w:val="da-DK"/>
        </w:rPr>
        <w:t>Thulefolket (sen inuit) kom til 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nland fra Canada omkring 1200 e.f.t. og er den stamme nutidens inuit nedstammer fra.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Tal endvidere med dem om, at betegnelsen </w:t>
      </w:r>
      <w:r>
        <w:rPr>
          <w:rFonts w:ascii="Bookman Old Style" w:hAnsi="Bookman Old Style"/>
          <w:i w:val="1"/>
          <w:iCs w:val="1"/>
          <w:rtl w:val="0"/>
          <w:lang w:val="da-DK"/>
        </w:rPr>
        <w:t>kvindekniv</w:t>
      </w:r>
      <w:r>
        <w:rPr>
          <w:rFonts w:ascii="Bookman Old Style" w:hAnsi="Bookman Old Style"/>
          <w:rtl w:val="0"/>
          <w:lang w:val="da-DK"/>
        </w:rPr>
        <w:t xml:space="preserve"> er misvisende, da ogs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m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 xml:space="preserve">nd benyttede kniven. Ulu betyder </w:t>
      </w:r>
      <w:r>
        <w:rPr>
          <w:rFonts w:ascii="Bookman Old Style" w:hAnsi="Bookman Old Style"/>
          <w:i w:val="1"/>
          <w:iCs w:val="1"/>
          <w:rtl w:val="0"/>
          <w:lang w:val="da-DK"/>
        </w:rPr>
        <w:t>kniv</w:t>
      </w:r>
      <w:r>
        <w:rPr>
          <w:rFonts w:ascii="Bookman Old Style" w:hAnsi="Bookman Old Style"/>
          <w:rtl w:val="0"/>
          <w:lang w:val="da-DK"/>
        </w:rPr>
        <w:t xml:space="preserve">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gr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nlandsk. Kniven forbindes oftest med reng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ring af s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lskind, hvilket som regel var kvindernes arbejde.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FEDSTSTENSLAMPE</w:t>
      </w:r>
      <w:r>
        <w:rPr>
          <w:rFonts w:ascii="Bookman Old Style" w:cs="Bookman Old Style" w:hAnsi="Bookman Old Style" w:eastAsia="Bookman Old Style"/>
          <w:rtl w:val="0"/>
        </w:rPr>
        <w:tab/>
        <w:t>s. 20-23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isskossen er der et ark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ologisk fund af en fedtstenslampe. Eleverne skal fors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 at bestemme, hvilken periode den stammer fra. Billederne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side 23 i bogen kan hj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lpe dem med svar.</w:t>
      </w:r>
    </w:p>
    <w:p>
      <w:pPr>
        <w:pStyle w:val="Bradford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dem om at sp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k fra s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ler og hvaler blev brugt som br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 xml:space="preserve">ndsel </w:t>
      </w:r>
      <w:r>
        <w:rPr>
          <w:rFonts w:ascii="Bookman Old Style" w:hAnsi="Bookman Old Style" w:hint="default"/>
          <w:rtl w:val="0"/>
          <w:lang w:val="da-DK"/>
        </w:rPr>
        <w:t xml:space="preserve">– </w:t>
      </w:r>
      <w:r>
        <w:rPr>
          <w:rFonts w:ascii="Bookman Old Style" w:hAnsi="Bookman Old Style"/>
          <w:rtl w:val="0"/>
          <w:lang w:val="da-DK"/>
        </w:rPr>
        <w:t>om hvorn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 fedtstenslampen blev erstattet af elektricitet.</w:t>
      </w:r>
    </w:p>
    <w:p>
      <w:pPr>
        <w:pStyle w:val="Bradford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 </w:t>
      </w: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bookmarkStart w:name="_Hlk134880504" w:id="0"/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BORDMODELLEN</w:t>
      </w:r>
      <w:r>
        <w:rPr>
          <w:rFonts w:ascii="Bookman Old Style" w:cs="Bookman Old Style" w:hAnsi="Bookman Old Style" w:eastAsia="Bookman Old Style"/>
          <w:rtl w:val="0"/>
        </w:rPr>
        <w:tab/>
        <w:t>s. 20-23</w:t>
      </w:r>
    </w:p>
    <w:p>
      <w:pPr>
        <w:pStyle w:val="Bradford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Bordmodellen viser bopladsen Sermermiut i fire perioder: 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 xml:space="preserve">2500 f.v.t. -0 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0-1200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1200-1600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1741 og op til nutiden.</w:t>
      </w:r>
    </w:p>
    <w:p>
      <w:pPr>
        <w:pStyle w:val="Brødtekst"/>
        <w:tabs>
          <w:tab w:val="right" w:pos="9612"/>
        </w:tabs>
      </w:pPr>
      <w:r>
        <w:rPr>
          <w:rtl w:val="0"/>
        </w:rPr>
        <w:t>Lad eleverne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se intro-teksten til hver af de fire perioder inden de ser animationen eller gennemg</w:t>
      </w:r>
      <w:r>
        <w:rPr>
          <w:rtl w:val="0"/>
        </w:rPr>
        <w:t xml:space="preserve">å </w:t>
      </w:r>
      <w:r>
        <w:rPr>
          <w:rtl w:val="0"/>
        </w:rPr>
        <w:t>den med dem. Teksten st</w:t>
      </w:r>
      <w:r>
        <w:rPr>
          <w:rtl w:val="0"/>
          <w:lang w:val="da-DK"/>
        </w:rPr>
        <w:t>å</w:t>
      </w:r>
      <w:r>
        <w:rPr>
          <w:rtl w:val="0"/>
        </w:rPr>
        <w:t>r nederst p</w:t>
      </w:r>
      <w:r>
        <w:rPr>
          <w:rtl w:val="0"/>
        </w:rPr>
        <w:t xml:space="preserve">å </w:t>
      </w:r>
      <w:r>
        <w:rPr>
          <w:rtl w:val="0"/>
        </w:rPr>
        <w:t>bordmodellen.</w:t>
      </w:r>
      <w:bookmarkEnd w:id="0"/>
    </w:p>
    <w:p>
      <w:pPr>
        <w:pStyle w:val="Bradford"/>
        <w:rPr>
          <w:rFonts w:ascii="Bookman Old Style" w:cs="Bookman Old Style" w:hAnsi="Bookman Old Style" w:eastAsia="Bookman Old Style"/>
        </w:rPr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Yderlige forslag til arbejdet 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 xml:space="preserve">Arbejd eventuelt videre med </w:t>
      </w:r>
      <w:r>
        <w:rPr>
          <w:i w:val="1"/>
          <w:iCs w:val="1"/>
          <w:rtl w:val="0"/>
        </w:rPr>
        <w:t>indvandring</w:t>
      </w:r>
      <w:r>
        <w:rPr>
          <w:rtl w:val="0"/>
          <w:lang w:val="da-DK"/>
        </w:rPr>
        <w:t xml:space="preserve"> og </w:t>
      </w:r>
      <w:r>
        <w:rPr>
          <w:i w:val="1"/>
          <w:iCs w:val="1"/>
          <w:rtl w:val="0"/>
        </w:rPr>
        <w:t>ark</w:t>
      </w:r>
      <w:r>
        <w:rPr>
          <w:i w:val="1"/>
          <w:iCs w:val="1"/>
          <w:rtl w:val="0"/>
          <w:lang w:val="da-DK"/>
        </w:rPr>
        <w:t>æ</w:t>
      </w:r>
      <w:r>
        <w:rPr>
          <w:i w:val="1"/>
          <w:iCs w:val="1"/>
          <w:rtl w:val="0"/>
        </w:rPr>
        <w:t>ologiske fund</w:t>
      </w:r>
      <w:r>
        <w:rPr>
          <w:rtl w:val="0"/>
          <w:lang w:val="da-DK"/>
        </w:rPr>
        <w:t xml:space="preserve"> ved bopladsen Sermermiut</w:t>
      </w:r>
      <w:r>
        <w:rPr>
          <w:i w:val="1"/>
          <w:iCs w:val="1"/>
          <w:rtl w:val="0"/>
        </w:rPr>
        <w:t xml:space="preserve">.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lk128655597" w:id="1"/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ringsportal ligger der yderligere materiale til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"https://isfjordscentret.gl/da/sermermiut-bopladsen-mellemtrinnet/"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da-DK"/>
        </w:rPr>
        <w:t>Sermermiut-bopladsen.</w:t>
      </w:r>
      <w:bookmarkEnd w:id="1"/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Bradford LL" w:cs="Bradford LL" w:hAnsi="Bradford LL" w:eastAsia="Bradford L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paragraph" w:styleId="heading 2">
    <w:name w:val="heading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Bradford LL" w:hAnsi="Bradford LL" w:eastAsia="Bradford L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