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jc w:val="right"/>
      </w:pPr>
      <w:bookmarkStart w:name="_Hlk137801768" w:id="0"/>
      <w:r>
        <w:rPr>
          <w:i w:val="1"/>
          <w:iCs w:val="1"/>
          <w:outline w:val="0"/>
          <w:color w:val="002060"/>
          <w:u w:color="002060"/>
          <w:rtl w:val="0"/>
          <w14:textFill>
            <w14:solidFill>
              <w14:srgbClr w14:val="002060"/>
            </w14:solidFill>
          </w14:textFill>
        </w:rPr>
        <w:t>I</w:t>
      </w:r>
      <w:bookmarkEnd w:id="0"/>
      <w:bookmarkStart w:name="_Hlk130807255" w:id="1"/>
      <w:r>
        <w:rPr>
          <w:i w:val="1"/>
          <w:iCs w:val="1"/>
          <w:outline w:val="0"/>
          <w:color w:val="002060"/>
          <w:u w:color="002060"/>
          <w:rtl w:val="0"/>
          <w:lang w:val="pt-PT"/>
          <w14:textFill>
            <w14:solidFill>
              <w14:srgbClr w14:val="002060"/>
            </w14:solidFill>
          </w14:textFill>
        </w:rPr>
        <w:t>ceberg</w:t>
      </w:r>
      <w:r>
        <w:rPr>
          <w:rtl w:val="0"/>
        </w:rPr>
        <w:t xml:space="preserve"> </w:t>
      </w: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Teacher's guide"/>
                        <wps:cNvSpPr txBox="1"/>
                        <wps:spPr>
                          <a:xfrm>
                            <a:off x="301758" y="119336"/>
                            <a:ext cx="1101459" cy="532853"/>
                          </a:xfrm>
                          <a:prstGeom prst="rect">
                            <a:avLst/>
                          </a:prstGeom>
                          <a:noFill/>
                          <a:ln w="12700" cap="flat">
                            <a:noFill/>
                            <a:miter lim="400000"/>
                          </a:ln>
                          <a:effectLst/>
                        </wps:spPr>
                        <wps:txbx>
                          <w:txbxContent>
                            <w:p>
                              <w:pPr>
                                <w:pStyle w:val="Brødtekst"/>
                              </w:pPr>
                              <w:r>
                                <w:rPr>
                                  <w:rtl w:val="0"/>
                                  <w:lang w:val="en-US"/>
                                </w:rPr>
                                <w:t>Teacher's guide</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pPr>
                        <w:r>
                          <w:rPr>
                            <w:rtl w:val="0"/>
                            <w:lang w:val="en-US"/>
                          </w:rPr>
                          <w:t>Teacher's guide</w:t>
                        </w:r>
                      </w:p>
                    </w:txbxContent>
                  </v:textbox>
                </v:shape>
              </v:group>
            </w:pict>
          </mc:Fallback>
        </mc:AlternateContent>
      </w:r>
      <w:r>
        <w:rPr>
          <w:b w:val="1"/>
          <w:bCs w:val="1"/>
          <w:rtl w:val="0"/>
        </w:rPr>
        <w:t xml:space="preserve"> </w:t>
      </w:r>
      <w:bookmarkEnd w:id="1"/>
      <w:r>
        <w:rPr>
          <w:rtl w:val="0"/>
        </w:rPr>
        <w:t xml:space="preserve"> </w:t>
      </w:r>
    </w:p>
    <w:p>
      <w:pPr>
        <w:pStyle w:val="Brødtekst"/>
        <w:jc w:val="right"/>
      </w:pPr>
      <w:r>
        <w:rPr>
          <w:outline w:val="0"/>
          <w:color w:val="002060"/>
          <w:u w:color="002060"/>
          <w:rtl w:val="0"/>
          <w:lang w:val="en-US"/>
          <w14:textFill>
            <w14:solidFill>
              <w14:srgbClr w14:val="002060"/>
            </w14:solidFill>
          </w14:textFill>
        </w:rPr>
        <w:t>Youngest level</w:t>
      </w:r>
      <w:r>
        <w:rPr>
          <w:rtl w:val="0"/>
        </w:rPr>
        <w:t xml:space="preserve"> </w:t>
      </w:r>
    </w:p>
    <w:p>
      <w:pPr>
        <w:pStyle w:val="Brødtekst"/>
      </w:pPr>
    </w:p>
    <w:p>
      <w:pPr>
        <w:pStyle w:val="heading 1"/>
      </w:pPr>
    </w:p>
    <w:p>
      <w:pPr>
        <w:pStyle w:val="heading 1"/>
      </w:pPr>
      <w:r>
        <w:rPr>
          <w:rFonts w:cs="Arial Unicode MS" w:eastAsia="Arial Unicode MS"/>
          <w:rtl w:val="0"/>
          <w:lang w:val="en-US"/>
        </w:rPr>
        <w:t>ABOUT THE VISITOR</w:t>
      </w:r>
      <w:r>
        <w:rPr>
          <w:rFonts w:cs="Arial Unicode MS" w:eastAsia="Arial Unicode MS" w:hint="default"/>
          <w:rtl w:val="0"/>
          <w:lang w:val="en-US"/>
        </w:rPr>
        <w:t>’</w:t>
      </w:r>
      <w:r>
        <w:rPr>
          <w:rFonts w:cs="Arial Unicode MS" w:eastAsia="Arial Unicode MS"/>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"https://isfjordscentret.gl/en/iceberg-youngest-level/"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pt-PT"/>
        </w:rPr>
        <w:t>s material.</w:t>
      </w:r>
      <w:r>
        <w:rPr/>
        <w:fldChar w:fldCharType="end" w:fldLock="0"/>
      </w:r>
      <w:r>
        <w:rPr>
          <w:rtl w:val="0"/>
        </w:rPr>
        <w:t xml:space="preserve"> </w:t>
      </w:r>
    </w:p>
    <w:p>
      <w:pPr>
        <w:pStyle w:val="Brødtekst"/>
      </w:pPr>
    </w:p>
    <w:p>
      <w:pPr>
        <w:pStyle w:val="Brødtekst"/>
      </w:pPr>
      <w:r>
        <w:rPr>
          <w:rtl w:val="0"/>
          <w:lang w:val="en-US"/>
        </w:rPr>
        <w:t xml:space="preserve">It consists of </w:t>
      </w:r>
    </w:p>
    <w:p>
      <w:pPr>
        <w:pStyle w:val="List Paragraph"/>
        <w:numPr>
          <w:ilvl w:val="0"/>
          <w:numId w:val="2"/>
        </w:numPr>
        <w:rPr>
          <w:lang w:val="en-US"/>
        </w:rPr>
      </w:pPr>
      <w:r>
        <w:rPr>
          <w:rtl w:val="0"/>
          <w:lang w:val="en-US"/>
        </w:rPr>
        <w:t>a ground plan of the exhibition</w:t>
      </w:r>
    </w:p>
    <w:p>
      <w:pPr>
        <w:pStyle w:val="List Paragraph"/>
        <w:numPr>
          <w:ilvl w:val="0"/>
          <w:numId w:val="2"/>
        </w:numPr>
        <w:rPr>
          <w:lang w:val="en-US"/>
        </w:rPr>
      </w:pPr>
      <w:r>
        <w:rPr>
          <w:rtl w:val="0"/>
          <w:lang w:val="en-US"/>
        </w:rPr>
        <w:t>an info sheet and an answer sheet for the students</w:t>
      </w:r>
    </w:p>
    <w:p>
      <w:pPr>
        <w:pStyle w:val="Brødtekst"/>
      </w:pPr>
      <w:r>
        <w:rPr>
          <w:rtl w:val="0"/>
          <w:lang w:val="en-US"/>
        </w:rPr>
        <w:t xml:space="preserve">Page references are to the book placed at the topic </w:t>
      </w:r>
      <w:r>
        <w:rPr>
          <w:rtl w:val="0"/>
        </w:rPr>
        <w:t xml:space="preserve">– </w:t>
      </w:r>
      <w:r>
        <w:rPr>
          <w:rtl w:val="0"/>
          <w:lang w:val="en-US"/>
        </w:rPr>
        <w:t xml:space="preserve">in this case: </w:t>
      </w:r>
      <w:r>
        <w:rPr>
          <w:rStyle w:val="Hyperlink.0"/>
        </w:rPr>
        <w:fldChar w:fldCharType="begin" w:fldLock="0"/>
      </w:r>
      <w:r>
        <w:rPr>
          <w:rStyle w:val="Hyperlink.0"/>
        </w:rPr>
        <w:instrText xml:space="preserve"> HYPERLINK "https://issuu.com/isfjordscentret/docs/isfjeld_final?fr=xKAE9_zU1NQ"</w:instrText>
      </w:r>
      <w:r>
        <w:rPr>
          <w:rStyle w:val="Hyperlink.0"/>
        </w:rPr>
        <w:fldChar w:fldCharType="separate" w:fldLock="0"/>
      </w:r>
      <w:r>
        <w:rPr>
          <w:rStyle w:val="Hyperlink.0"/>
          <w:rtl w:val="0"/>
          <w:lang w:val="pt-PT"/>
        </w:rPr>
        <w:t>Iceberg</w:t>
      </w:r>
      <w:r>
        <w:rPr/>
        <w:fldChar w:fldCharType="end" w:fldLock="0"/>
      </w:r>
      <w:r>
        <w:rPr>
          <w:i w:val="1"/>
          <w:iCs w:val="1"/>
          <w:rtl w:val="0"/>
        </w:rPr>
        <w:t>.</w:t>
      </w:r>
    </w:p>
    <w:p>
      <w:pPr>
        <w:pStyle w:val="heading 1"/>
        <w:rPr>
          <w:rFonts w:ascii="Bookman Old Style" w:cs="Bookman Old Style" w:hAnsi="Bookman Old Style" w:eastAsia="Bookman Old Style"/>
        </w:rPr>
      </w:pPr>
      <w:r>
        <w:rPr>
          <w:rFonts w:cs="Arial Unicode MS" w:eastAsia="Arial Unicode MS"/>
          <w:rtl w:val="0"/>
          <w:lang w:val="en-US"/>
        </w:rPr>
        <w:t>SUBJECTS AND COMPETENCES</w:t>
      </w:r>
    </w:p>
    <w:p>
      <w:pPr>
        <w:pStyle w:val="Brødtekst"/>
      </w:pPr>
      <w:r>
        <w:rPr>
          <w:rtl w:val="0"/>
          <w:lang w:val="en-US"/>
        </w:rPr>
        <w:t>Science, contemplation and oral and written communication</w:t>
      </w:r>
    </w:p>
    <w:p>
      <w:pPr>
        <w:pStyle w:val="heading 1"/>
        <w:rPr>
          <w:rFonts w:ascii="Bookman Old Style" w:cs="Bookman Old Style" w:hAnsi="Bookman Old Style" w:eastAsia="Bookman Old Style"/>
        </w:rPr>
      </w:pPr>
      <w:r>
        <w:rPr>
          <w:rFonts w:cs="Arial Unicode MS" w:eastAsia="Arial Unicode MS"/>
          <w:rtl w:val="0"/>
          <w:lang w:val="en-US"/>
        </w:rPr>
        <w:t>LEARNING OBJECTIVES</w:t>
      </w:r>
    </w:p>
    <w:p>
      <w:pPr>
        <w:pStyle w:val="heading 1"/>
        <w:numPr>
          <w:ilvl w:val="0"/>
          <w:numId w:val="4"/>
        </w:numPr>
        <w:bidi w:val="0"/>
        <w:spacing w:before="0"/>
        <w:ind w:right="0"/>
        <w:jc w:val="left"/>
        <w:rPr>
          <w:outline w:val="0"/>
          <w:color w:val="000000"/>
          <w:sz w:val="22"/>
          <w:szCs w:val="22"/>
          <w:rtl w:val="0"/>
          <w:lang w:val="en-US"/>
          <w14:textFill>
            <w14:solidFill>
              <w14:srgbClr w14:val="000000"/>
            </w14:solidFill>
          </w14:textFill>
        </w:rPr>
      </w:pPr>
      <w:r>
        <w:rPr>
          <w:outline w:val="0"/>
          <w:color w:val="000000"/>
          <w:sz w:val="22"/>
          <w:szCs w:val="22"/>
          <w:u w:color="000000"/>
          <w:rtl w:val="0"/>
          <w:lang w:val="en-US"/>
          <w14:textFill>
            <w14:solidFill>
              <w14:srgbClr w14:val="000000"/>
            </w14:solidFill>
          </w14:textFill>
        </w:rPr>
        <w:t>the students gain knowledge about how icebergs are created.</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acquire a special knowledge of the Sermeq Kujalleq glacier and calving off its front.</w:t>
      </w:r>
    </w:p>
    <w:p>
      <w:pPr>
        <w:pStyle w:val="heading 1"/>
        <w:numPr>
          <w:ilvl w:val="0"/>
          <w:numId w:val="4"/>
        </w:numPr>
        <w:bidi w:val="0"/>
        <w:spacing w:before="0"/>
        <w:ind w:right="0"/>
        <w:jc w:val="left"/>
        <w:rPr>
          <w:i w:val="1"/>
          <w:iCs w:val="1"/>
          <w:outline w:val="0"/>
          <w:color w:val="000000"/>
          <w:sz w:val="22"/>
          <w:szCs w:val="22"/>
          <w:rtl w:val="0"/>
          <w:lang w:val="en-US"/>
          <w14:textFill>
            <w14:solidFill>
              <w14:srgbClr w14:val="000000"/>
            </w14:solidFill>
          </w14:textFill>
        </w:rPr>
      </w:pPr>
      <w:r>
        <w:rPr>
          <w:i w:val="0"/>
          <w:iCs w:val="0"/>
          <w:outline w:val="0"/>
          <w:color w:val="000000"/>
          <w:sz w:val="22"/>
          <w:szCs w:val="22"/>
          <w:u w:color="000000"/>
          <w:rtl w:val="0"/>
          <w:lang w:val="en-US"/>
          <w14:textFill>
            <w14:solidFill>
              <w14:srgbClr w14:val="000000"/>
            </w14:solidFill>
          </w14:textFill>
        </w:rPr>
        <w:t>they learn about the movements of the icebergs in the Icefjord and where they drift before melting after 3-4 years.</w:t>
      </w:r>
    </w:p>
    <w:p>
      <w:pPr>
        <w:pStyle w:val="heading 1"/>
        <w:rPr>
          <w:rFonts w:ascii="Bookman Old Style" w:cs="Bookman Old Style" w:hAnsi="Bookman Old Style" w:eastAsia="Bookman Old Style"/>
        </w:rPr>
      </w:pPr>
      <w:r>
        <w:rPr>
          <w:rFonts w:cs="Arial Unicode MS" w:eastAsia="Arial Unicode MS"/>
          <w:rtl w:val="0"/>
          <w:lang w:val="en-US"/>
        </w:rPr>
        <w:t>GUIDELINES</w:t>
      </w:r>
    </w:p>
    <w:p>
      <w:pPr>
        <w:pStyle w:val="Brødtekst"/>
      </w:pPr>
      <w:r>
        <w:rPr>
          <w:rtl w:val="0"/>
          <w:lang w:val="en-US"/>
        </w:rPr>
        <w:t>First let the students explore the exhibition on their own. Then gather them in the area shown by the staff.</w:t>
      </w:r>
    </w:p>
    <w:p>
      <w:pPr>
        <w:pStyle w:val="Brødtekst"/>
      </w:pPr>
      <w:r>
        <w:rPr>
          <w:rtl w:val="0"/>
          <w:lang w:val="en-US"/>
        </w:rPr>
        <w:t xml:space="preserve">Explain the ground plan and let them find the ice floes that represent </w:t>
      </w:r>
      <w:r>
        <w:rPr>
          <w:i w:val="1"/>
          <w:iCs w:val="1"/>
          <w:rtl w:val="0"/>
          <w:lang w:val="pt-PT"/>
        </w:rPr>
        <w:t>Iceberg.</w:t>
      </w:r>
    </w:p>
    <w:p>
      <w:pPr>
        <w:pStyle w:val="Brødtekst"/>
        <w:spacing w:before="120"/>
      </w:pPr>
      <w:r>
        <w:rPr>
          <w:rtl w:val="0"/>
          <w:lang w:val="en-US"/>
        </w:rPr>
        <w:t>Give an instruction for the sheets to make clear what the tasks are. Read the texts aloud for those who cannot yet read.</w:t>
      </w:r>
    </w:p>
    <w:p>
      <w:pPr>
        <w:pStyle w:val="List Paragraph"/>
        <w:numPr>
          <w:ilvl w:val="0"/>
          <w:numId w:val="6"/>
        </w:numPr>
        <w:rPr>
          <w:lang w:val="en-US"/>
        </w:rPr>
      </w:pPr>
      <w:r>
        <w:rPr>
          <w:rtl w:val="0"/>
          <w:lang w:val="en-US"/>
        </w:rPr>
        <w:t>On the face of the info sheet is a short text. On the answer sheet are two questions to each of the five ice floes. At each picture is a circle containing a letter. These letters must be combined to form a word. (black)</w:t>
      </w:r>
    </w:p>
    <w:p>
      <w:pPr>
        <w:pStyle w:val="List Paragraph"/>
        <w:numPr>
          <w:ilvl w:val="0"/>
          <w:numId w:val="6"/>
        </w:numPr>
        <w:rPr>
          <w:lang w:val="en-US"/>
        </w:rPr>
      </w:pPr>
      <w:r>
        <w:rPr>
          <w:rtl w:val="0"/>
          <w:lang w:val="en-US"/>
        </w:rPr>
        <w:t xml:space="preserve">On the answer sheet the students can write or draw their answers. </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"https://isfjordscentret.gl/en/iceberg-youngest-level/"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rStyle w:val="Hyperlink.0"/>
          <w:rtl w:val="0"/>
          <w:lang w:val="da-DK"/>
        </w:rPr>
        <w:t>.</w:t>
      </w:r>
      <w:r>
        <w:rPr/>
        <w:fldChar w:fldCharType="end" w:fldLock="0"/>
      </w:r>
    </w:p>
    <w:p>
      <w:pPr>
        <w:pStyle w:val="Brødtekst"/>
      </w:pPr>
    </w:p>
    <w:p>
      <w:pPr>
        <w:pStyle w:val="Brødtekst"/>
      </w:pPr>
      <w:r>
        <w:rPr>
          <w:rtl w:val="0"/>
          <w:lang w:val="en-US"/>
        </w:rPr>
        <w:t>Now let the students go to the ice floes. Instruct them to study the ice floes carefully before they start answering the questions.  Encourage them to come up with questions of wonder.  Organize the students in pairs or in small groups.</w:t>
      </w: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Suggestions for working with the ice floes during/after the visit</w:t>
      </w:r>
    </w:p>
    <w:p>
      <w:pPr>
        <w:pStyle w:val="Bradford"/>
        <w:keepNext w:val="1"/>
      </w:pPr>
    </w:p>
    <w:p>
      <w:pPr>
        <w:pStyle w:val="Bradford"/>
        <w:keepNext w:val="1"/>
        <w:tabs>
          <w:tab w:val="left" w:pos="5670"/>
          <w:tab w:val="right" w:pos="9356"/>
        </w:tabs>
        <w:rPr>
          <w:rFonts w:ascii="Bookman Old Style" w:cs="Bookman Old Style" w:hAnsi="Bookman Old Style" w:eastAsia="Bookman Old Style"/>
        </w:rPr>
      </w:pPr>
      <w:r>
        <w:rPr>
          <w:outline w:val="0"/>
          <w:color w:val="2f5496"/>
          <w:sz w:val="24"/>
          <w:szCs w:val="24"/>
          <w:u w:color="2f5496"/>
          <w:rtl w:val="0"/>
          <w:lang w:val="en-US"/>
          <w14:textFill>
            <w14:solidFill>
              <w14:srgbClr w14:val="2F5496"/>
            </w14:solidFill>
          </w14:textFill>
        </w:rPr>
        <w:t>ICE CRYSTALS</w:t>
      </w:r>
      <w:r>
        <w:rPr>
          <w:rtl w:val="0"/>
        </w:rPr>
        <w:tab/>
        <w:t xml:space="preserve"> </w:t>
        <w:tab/>
        <w:t>pp. 8-19</w:t>
      </w:r>
    </w:p>
    <w:p>
      <w:pPr>
        <w:pStyle w:val="Bradford"/>
        <w:keepNext w:val="1"/>
        <w:tabs>
          <w:tab w:val="left" w:pos="5670"/>
          <w:tab w:val="right" w:pos="9356"/>
        </w:tabs>
        <w:rPr>
          <w:sz w:val="24"/>
          <w:szCs w:val="24"/>
        </w:rPr>
      </w:pPr>
      <w:r>
        <w:rPr>
          <w:sz w:val="24"/>
          <w:szCs w:val="24"/>
          <w:rtl w:val="0"/>
          <w:lang w:val="en-US"/>
        </w:rPr>
        <w:t>From the book page 10:</w:t>
      </w:r>
      <w:r>
        <w:rPr>
          <w:sz w:val="24"/>
          <w:szCs w:val="24"/>
        </w:rPr>
        <w:br w:type="textWrapping"/>
      </w:r>
      <w:r>
        <w:rPr>
          <w:sz w:val="24"/>
          <w:szCs w:val="24"/>
          <w:rtl w:val="0"/>
          <w:lang w:val="en-US"/>
        </w:rPr>
        <w:t>Snowflakes are ice crystals which have gathered in the topmost, cold layers of cloud. The germ of an ice crystal may be formed, for example, of a particle of stardust or a small grain of salt, which the water molecules strike and freeze to. When enough water molecules have frozen around the germ, a perfectly symmetrical hexagonal prism is formed.</w:t>
      </w:r>
    </w:p>
    <w:p>
      <w:pPr>
        <w:pStyle w:val="Bradford"/>
        <w:keepNext w:val="1"/>
        <w:tabs>
          <w:tab w:val="left" w:pos="5670"/>
          <w:tab w:val="right" w:pos="9356"/>
        </w:tabs>
        <w:rPr>
          <w:sz w:val="24"/>
          <w:szCs w:val="24"/>
        </w:rPr>
      </w:pPr>
    </w:p>
    <w:p>
      <w:pPr>
        <w:pStyle w:val="Bradford"/>
        <w:keepNext w:val="1"/>
        <w:tabs>
          <w:tab w:val="left" w:pos="5670"/>
          <w:tab w:val="right" w:pos="9356"/>
        </w:tabs>
        <w:rPr>
          <w:sz w:val="24"/>
          <w:szCs w:val="24"/>
        </w:rPr>
      </w:pPr>
      <w:r>
        <w:rPr>
          <w:sz w:val="24"/>
          <w:szCs w:val="24"/>
          <w:rtl w:val="0"/>
          <w:lang w:val="en-US"/>
        </w:rPr>
        <w:t>Let the students study the pictures of ice crystals on pages 14-17. Talk with them about:</w:t>
      </w:r>
    </w:p>
    <w:p>
      <w:pPr>
        <w:pStyle w:val="Bradford"/>
        <w:keepNext w:val="1"/>
        <w:numPr>
          <w:ilvl w:val="0"/>
          <w:numId w:val="8"/>
        </w:numPr>
        <w:bidi w:val="0"/>
        <w:ind w:right="0"/>
        <w:jc w:val="left"/>
        <w:rPr>
          <w:sz w:val="24"/>
          <w:szCs w:val="24"/>
          <w:rtl w:val="0"/>
          <w:lang w:val="en-US"/>
        </w:rPr>
      </w:pPr>
      <w:r>
        <w:rPr>
          <w:sz w:val="24"/>
          <w:szCs w:val="24"/>
          <w:rtl w:val="0"/>
          <w:lang w:val="en-US"/>
        </w:rPr>
        <w:t>that a snowflake is formed from many ice crystals.</w:t>
      </w:r>
    </w:p>
    <w:p>
      <w:pPr>
        <w:pStyle w:val="Bradford"/>
        <w:keepNext w:val="1"/>
        <w:numPr>
          <w:ilvl w:val="0"/>
          <w:numId w:val="8"/>
        </w:numPr>
        <w:bidi w:val="0"/>
        <w:ind w:right="0"/>
        <w:jc w:val="left"/>
        <w:rPr>
          <w:sz w:val="24"/>
          <w:szCs w:val="24"/>
          <w:rtl w:val="0"/>
          <w:lang w:val="en-US"/>
        </w:rPr>
      </w:pPr>
      <w:r>
        <w:rPr>
          <w:sz w:val="24"/>
          <w:szCs w:val="24"/>
          <w:rtl w:val="0"/>
          <w:lang w:val="en-US"/>
        </w:rPr>
        <w:t>that ice crystals always are hexagonal, but in many different forms.</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FROM SNOW TO ICE</w:t>
      </w:r>
      <w:r>
        <w:rPr>
          <w:rtl w:val="0"/>
        </w:rPr>
        <w:tab/>
        <w:tab/>
        <w:t>pp. 20-23</w:t>
      </w:r>
    </w:p>
    <w:p>
      <w:pPr>
        <w:pStyle w:val="Bradford"/>
      </w:pPr>
      <w:r>
        <w:rPr>
          <w:rFonts w:cs="Arial Unicode MS" w:eastAsia="Arial Unicode MS"/>
          <w:rtl w:val="0"/>
          <w:lang w:val="en-US"/>
        </w:rPr>
        <w:t>The weight of one layer of snow upon another falling onto the ice sheet creates enormous pressure.</w:t>
      </w:r>
    </w:p>
    <w:p>
      <w:pPr>
        <w:pStyle w:val="Bradford"/>
      </w:pPr>
      <w:r>
        <w:rPr>
          <w:rFonts w:cs="Arial Unicode MS" w:eastAsia="Arial Unicode MS"/>
          <w:rtl w:val="0"/>
          <w:lang w:val="en-US"/>
        </w:rPr>
        <w:t>Under this pressure, the serrations of the snowflakes break off and the snow is compacted to form firn.</w:t>
      </w:r>
    </w:p>
    <w:p>
      <w:pPr>
        <w:pStyle w:val="Bradford"/>
      </w:pPr>
    </w:p>
    <w:p>
      <w:pPr>
        <w:pStyle w:val="Bradford"/>
      </w:pPr>
      <w:r>
        <w:rPr>
          <w:rFonts w:cs="Arial Unicode MS" w:eastAsia="Arial Unicode MS"/>
          <w:rtl w:val="0"/>
          <w:lang w:val="en-US"/>
        </w:rPr>
        <w:t xml:space="preserve">Talk with the students about </w:t>
      </w:r>
    </w:p>
    <w:p>
      <w:pPr>
        <w:pStyle w:val="Bradford"/>
        <w:numPr>
          <w:ilvl w:val="0"/>
          <w:numId w:val="10"/>
        </w:numPr>
        <w:rPr>
          <w:lang w:val="en-US"/>
        </w:rPr>
      </w:pPr>
      <w:r>
        <w:rPr>
          <w:rtl w:val="0"/>
          <w:lang w:val="en-US"/>
        </w:rPr>
        <w:t>that more air bubbles in the ice makes it look whiter.</w:t>
      </w:r>
    </w:p>
    <w:p>
      <w:pPr>
        <w:pStyle w:val="Bradford"/>
        <w:numPr>
          <w:ilvl w:val="0"/>
          <w:numId w:val="10"/>
        </w:numPr>
        <w:rPr>
          <w:lang w:val="en-US"/>
        </w:rPr>
      </w:pPr>
      <w:r>
        <w:rPr>
          <w:rtl w:val="0"/>
          <w:lang w:val="en-US"/>
        </w:rPr>
        <w:t>that white ice is youngest.</w:t>
      </w:r>
    </w:p>
    <w:p>
      <w:pPr>
        <w:pStyle w:val="Bradford"/>
      </w:pPr>
    </w:p>
    <w:p>
      <w:pPr>
        <w:pStyle w:val="Bradford"/>
      </w:pPr>
      <w:r>
        <w:rPr>
          <w:rFonts w:cs="Arial Unicode MS" w:eastAsia="Arial Unicode MS"/>
          <w:rtl w:val="0"/>
          <w:lang w:val="en-US"/>
        </w:rPr>
        <w:t>Discuss the models on page 23 showing the firn process.</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HOW BIG IS AND ICEBERG?</w:t>
      </w:r>
      <w:r>
        <w:rPr>
          <w:rtl w:val="0"/>
        </w:rPr>
        <w:tab/>
        <w:tab/>
        <w:t>pp. 24-33</w:t>
      </w:r>
    </w:p>
    <w:p>
      <w:pPr>
        <w:pStyle w:val="Bradford"/>
      </w:pPr>
      <w:r>
        <w:rPr>
          <w:rFonts w:cs="Arial Unicode MS" w:eastAsia="Arial Unicode MS"/>
          <w:rtl w:val="0"/>
          <w:lang w:val="en-US"/>
        </w:rPr>
        <w:t>In the ice floe you see an iceberg where 10% is above sea level and the rest below. The icebergs from Sermeq Kujalleq can be 900 m tall.</w:t>
      </w:r>
    </w:p>
    <w:p>
      <w:pPr>
        <w:pStyle w:val="Bradford"/>
      </w:pPr>
    </w:p>
    <w:p>
      <w:pPr>
        <w:pStyle w:val="Bradford"/>
      </w:pPr>
      <w:r>
        <w:rPr>
          <w:rFonts w:cs="Arial Unicode MS" w:eastAsia="Arial Unicode MS"/>
          <w:rtl w:val="0"/>
          <w:lang w:val="en-US"/>
        </w:rPr>
        <w:t>Talk with the students about</w:t>
      </w:r>
    </w:p>
    <w:p>
      <w:pPr>
        <w:pStyle w:val="Bradford"/>
        <w:numPr>
          <w:ilvl w:val="0"/>
          <w:numId w:val="12"/>
        </w:numPr>
        <w:rPr>
          <w:lang w:val="en-US"/>
        </w:rPr>
      </w:pPr>
      <w:r>
        <w:rPr>
          <w:rtl w:val="0"/>
          <w:lang w:val="en-US"/>
        </w:rPr>
        <w:t>how much of an iceberg 900 m tall can be seen above the water</w:t>
      </w:r>
    </w:p>
    <w:p>
      <w:pPr>
        <w:pStyle w:val="Bradford"/>
        <w:numPr>
          <w:ilvl w:val="0"/>
          <w:numId w:val="12"/>
        </w:numPr>
        <w:rPr>
          <w:lang w:val="en-US"/>
        </w:rPr>
      </w:pPr>
      <w:r>
        <w:rPr>
          <w:rtl w:val="0"/>
          <w:lang w:val="en-US"/>
        </w:rPr>
        <w:t>that icebergs travel into the world and can be traced 3-4 years before they are totally melted. See the map page 23.</w:t>
      </w:r>
    </w:p>
    <w:p>
      <w:pPr>
        <w:pStyle w:val="Bradford"/>
      </w:pPr>
    </w:p>
    <w:p>
      <w:pPr>
        <w:pStyle w:val="Bradford"/>
      </w:pPr>
      <w:r>
        <w:rPr>
          <w:rFonts w:cs="Arial Unicode MS" w:eastAsia="Arial Unicode MS"/>
          <w:rtl w:val="0"/>
          <w:lang w:val="en-US"/>
        </w:rPr>
        <w:t>Discuss the models on page 31 in the book, and talk with the students about icebergs suddenly turning around.</w:t>
      </w:r>
    </w:p>
    <w:p>
      <w:pPr>
        <w:pStyle w:val="Bradford"/>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THE COLOURS OF AN ICEBERG</w:t>
      </w:r>
      <w:r>
        <w:rPr>
          <w:rtl w:val="0"/>
        </w:rPr>
        <w:tab/>
        <w:tab/>
        <w:t>pp. 34-39</w:t>
      </w:r>
    </w:p>
    <w:p>
      <w:pPr>
        <w:pStyle w:val="Bradford"/>
      </w:pPr>
      <w:r>
        <w:rPr>
          <w:rFonts w:cs="Arial Unicode MS" w:eastAsia="Arial Unicode MS"/>
          <w:rtl w:val="0"/>
          <w:lang w:val="en-US"/>
        </w:rPr>
        <w:t xml:space="preserve">In the ice floe are three icebergs </w:t>
      </w:r>
      <w:r>
        <w:rPr>
          <w:rFonts w:cs="Arial Unicode MS" w:eastAsia="Arial Unicode MS" w:hint="default"/>
          <w:rtl w:val="0"/>
          <w:lang w:val="en-US"/>
        </w:rPr>
        <w:t xml:space="preserve">– </w:t>
      </w:r>
      <w:r>
        <w:rPr>
          <w:rFonts w:cs="Arial Unicode MS" w:eastAsia="Arial Unicode MS"/>
          <w:rtl w:val="0"/>
          <w:lang w:val="en-US"/>
        </w:rPr>
        <w:t>a white one, a white with stripes and a blue. The colour of the ice is an indication of where the iceberg comes from.</w:t>
      </w:r>
    </w:p>
    <w:p>
      <w:pPr>
        <w:pStyle w:val="Bradford"/>
      </w:pPr>
    </w:p>
    <w:p>
      <w:pPr>
        <w:pStyle w:val="Bradford"/>
      </w:pPr>
      <w:r>
        <w:rPr>
          <w:rFonts w:cs="Arial Unicode MS" w:eastAsia="Arial Unicode MS"/>
          <w:rtl w:val="0"/>
          <w:lang w:val="en-US"/>
        </w:rPr>
        <w:t>Talk with the students about:</w:t>
      </w:r>
    </w:p>
    <w:p>
      <w:pPr>
        <w:pStyle w:val="Bradford"/>
        <w:numPr>
          <w:ilvl w:val="0"/>
          <w:numId w:val="14"/>
        </w:numPr>
        <w:rPr>
          <w:lang w:val="en-US"/>
        </w:rPr>
      </w:pPr>
      <w:r>
        <w:rPr>
          <w:rtl w:val="0"/>
          <w:lang w:val="en-US"/>
        </w:rPr>
        <w:t>that water in a glass has no colour.</w:t>
      </w:r>
    </w:p>
    <w:p>
      <w:pPr>
        <w:pStyle w:val="Bradford"/>
        <w:numPr>
          <w:ilvl w:val="0"/>
          <w:numId w:val="14"/>
        </w:numPr>
        <w:rPr>
          <w:lang w:val="en-US"/>
        </w:rPr>
      </w:pPr>
      <w:r>
        <w:rPr>
          <w:rtl w:val="0"/>
          <w:lang w:val="en-US"/>
        </w:rPr>
        <w:t>that thicker layers of water become blue. Because light is caught and refracted again.</w:t>
      </w:r>
    </w:p>
    <w:p>
      <w:pPr>
        <w:pStyle w:val="Bradford"/>
      </w:pPr>
    </w:p>
    <w:p>
      <w:pPr>
        <w:pStyle w:val="Bradford"/>
      </w:pPr>
      <w:r>
        <w:rPr>
          <w:rFonts w:cs="Arial Unicode MS" w:eastAsia="Arial Unicode MS"/>
          <w:rtl w:val="0"/>
          <w:lang w:val="en-US"/>
        </w:rPr>
        <w:t>Discuss the pictures and the texts on pp. 36-39 in the book.</w:t>
      </w:r>
    </w:p>
    <w:p>
      <w:pPr>
        <w:pStyle w:val="Bradford"/>
        <w:keepNext w:val="1"/>
        <w:tabs>
          <w:tab w:val="left" w:pos="5670"/>
          <w:tab w:val="right" w:pos="9356"/>
        </w:tabs>
        <w:rPr>
          <w:outline w:val="0"/>
          <w:color w:val="2f5496"/>
          <w:sz w:val="24"/>
          <w:szCs w:val="24"/>
          <w:u w:color="2f5496"/>
          <w14:textFill>
            <w14:solidFill>
              <w14:srgbClr w14:val="2F5496"/>
            </w14:solidFill>
          </w14:textFill>
        </w:rPr>
      </w:pPr>
    </w:p>
    <w:p>
      <w:pPr>
        <w:pStyle w:val="Bradford"/>
        <w:keepNext w:val="1"/>
        <w:tabs>
          <w:tab w:val="left" w:pos="5670"/>
          <w:tab w:val="right" w:pos="9356"/>
        </w:tabs>
      </w:pPr>
      <w:r>
        <w:rPr>
          <w:outline w:val="0"/>
          <w:color w:val="2f5496"/>
          <w:sz w:val="24"/>
          <w:szCs w:val="24"/>
          <w:u w:color="2f5496"/>
          <w:rtl w:val="0"/>
          <w:lang w:val="en-US"/>
          <w14:textFill>
            <w14:solidFill>
              <w14:srgbClr w14:val="2F5496"/>
            </w14:solidFill>
          </w14:textFill>
        </w:rPr>
        <w:t>CALVING</w:t>
      </w:r>
      <w:r>
        <w:rPr>
          <w:rtl w:val="0"/>
        </w:rPr>
        <w:tab/>
        <w:tab/>
        <w:t>pp. 40-55</w:t>
      </w:r>
    </w:p>
    <w:p>
      <w:pPr>
        <w:pStyle w:val="Brødtekst"/>
      </w:pPr>
      <w:r>
        <w:rPr>
          <w:rtl w:val="0"/>
          <w:lang w:val="en-US"/>
        </w:rPr>
        <w:t>In the ice floe an animation of a calving runs. Let the students watch, individually or in pairs.</w:t>
      </w:r>
    </w:p>
    <w:p>
      <w:pPr>
        <w:pStyle w:val="Brødtekst"/>
      </w:pPr>
    </w:p>
    <w:p>
      <w:pPr>
        <w:pStyle w:val="Brødtekst"/>
      </w:pPr>
      <w:r>
        <w:rPr>
          <w:rtl w:val="0"/>
          <w:lang w:val="en-US"/>
        </w:rPr>
        <w:t xml:space="preserve">Talk with the students about </w:t>
      </w:r>
    </w:p>
    <w:p>
      <w:pPr>
        <w:pStyle w:val="List Paragraph"/>
        <w:numPr>
          <w:ilvl w:val="0"/>
          <w:numId w:val="16"/>
        </w:numPr>
        <w:rPr>
          <w:lang w:val="en-US"/>
        </w:rPr>
      </w:pPr>
      <w:r>
        <w:rPr>
          <w:rtl w:val="0"/>
          <w:lang w:val="en-US"/>
        </w:rPr>
        <w:t>what goes on in the animation</w:t>
      </w:r>
    </w:p>
    <w:p>
      <w:pPr>
        <w:pStyle w:val="List Paragraph"/>
        <w:numPr>
          <w:ilvl w:val="0"/>
          <w:numId w:val="18"/>
        </w:numPr>
        <w:rPr>
          <w:lang w:val="en-US"/>
        </w:rPr>
      </w:pPr>
      <w:r>
        <w:rPr>
          <w:rtl w:val="0"/>
          <w:lang w:val="en-US"/>
        </w:rPr>
        <w:t>how many metres the glacier Sermeq Kujalleq moves at its top speed (which is in summer)</w:t>
      </w:r>
    </w:p>
    <w:p>
      <w:pPr>
        <w:pStyle w:val="Brødtekst"/>
      </w:pPr>
    </w:p>
    <w:p>
      <w:pPr>
        <w:pStyle w:val="heading 2"/>
        <w:pBdr>
          <w:top w:val="nil"/>
          <w:left w:val="nil"/>
          <w:bottom w:val="dashed" w:color="0070c0" w:sz="4" w:space="0" w:shadow="0" w:frame="0"/>
          <w:right w:val="nil"/>
        </w:pBdr>
        <w:rPr>
          <w:rFonts w:ascii="Bradford LL Light" w:cs="Bradford LL Light" w:hAnsi="Bradford LL Light" w:eastAsia="Bradford LL Light"/>
        </w:rPr>
      </w:pPr>
      <w:r>
        <w:rPr>
          <w:rFonts w:ascii="Bradford LL Light" w:hAnsi="Bradford LL Light"/>
          <w:rtl w:val="0"/>
          <w:lang w:val="en-US"/>
        </w:rPr>
        <w:t xml:space="preserve">Further suggestions for work after the visit </w:t>
      </w:r>
    </w:p>
    <w:p>
      <w:pPr>
        <w:pStyle w:val="Brødtekst"/>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pPr>
    </w:p>
    <w:p>
      <w:pPr>
        <w:pStyle w:val="Brødtekst"/>
      </w:pPr>
      <w:r>
        <w:rPr>
          <w:rtl w:val="0"/>
          <w:lang w:val="en-US"/>
        </w:rPr>
        <w:t>Continue working with one or more of the topics that have engaged the students.</w:t>
      </w:r>
    </w:p>
    <w:p>
      <w:pPr>
        <w:pStyle w:val="Brødtekst"/>
      </w:pPr>
    </w:p>
    <w:p>
      <w:pPr>
        <w:pStyle w:val="Brødtekst"/>
      </w:pPr>
      <w:r>
        <w:rPr>
          <w:rtl w:val="0"/>
          <w:lang w:val="en-US"/>
        </w:rPr>
        <w:t xml:space="preserve">On the learning platform of the Icefjord Centre you will find additional material for </w:t>
      </w:r>
      <w:r>
        <w:rPr>
          <w:rStyle w:val="Hyperlink.0"/>
        </w:rPr>
        <w:fldChar w:fldCharType="begin" w:fldLock="0"/>
      </w:r>
      <w:r>
        <w:rPr>
          <w:rStyle w:val="Hyperlink.0"/>
        </w:rPr>
        <w:instrText xml:space="preserve"> HYPERLINK "https://isfjordscentret.gl/en/iceberg-youngest-level/"</w:instrText>
      </w:r>
      <w:r>
        <w:rPr>
          <w:rStyle w:val="Hyperlink.0"/>
        </w:rPr>
        <w:fldChar w:fldCharType="separate" w:fldLock="0"/>
      </w:r>
      <w:r>
        <w:rPr>
          <w:rStyle w:val="Hyperlink.0"/>
          <w:rtl w:val="0"/>
          <w:lang w:val="pt-PT"/>
        </w:rPr>
        <w:t>Iceberg</w:t>
      </w:r>
      <w:r>
        <w:rPr/>
        <w:fldChar w:fldCharType="end" w:fldLock="0"/>
      </w:r>
      <w:r>
        <w:rPr>
          <w:i w:val="1"/>
          <w:iCs w:val="1"/>
          <w:rtl w:val="0"/>
        </w:rPr>
        <w:t xml:space="preserve">. </w:t>
      </w:r>
      <w:r>
        <w:rPr>
          <w:rtl w:val="0"/>
        </w:rPr>
        <w:t xml:space="preserve"> </w:t>
      </w:r>
    </w:p>
    <w:sectPr>
      <w:headerReference w:type="default" r:id="rId4"/>
      <w:footerReference w:type="default" r:id="rId5"/>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radford LL">
    <w:charset w:val="00"/>
    <w:family w:val="roman"/>
    <w:pitch w:val="default"/>
  </w:font>
  <w:font w:name="Bookman Old Style">
    <w:charset w:val="00"/>
    <w:family w:val="roman"/>
    <w:pitch w:val="default"/>
  </w:font>
  <w:font w:name="Calibri Light">
    <w:charset w:val="00"/>
    <w:family w:val="roman"/>
    <w:pitch w:val="default"/>
  </w:font>
  <w:font w:name="Bradford LL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left" w:pos="567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1304"/>
  <w:autoHyphenation w:val="1"/>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Bradford LL" w:cs="Bradford LL" w:hAnsi="Bradford LL" w:eastAsia="Bradford LL"/>
      <w:b w:val="0"/>
      <w:bCs w:val="0"/>
      <w:i w:val="0"/>
      <w:iCs w:val="0"/>
      <w:caps w:val="0"/>
      <w:smallCaps w:val="0"/>
      <w:strike w:val="0"/>
      <w:dstrike w:val="0"/>
      <w:outline w:val="0"/>
      <w:color w:val="2f5496"/>
      <w:spacing w:val="0"/>
      <w:kern w:val="0"/>
      <w:position w:val="0"/>
      <w:sz w:val="24"/>
      <w:szCs w:val="24"/>
      <w:u w:val="none" w:color="2f5496"/>
      <w:shd w:val="nil" w:color="auto" w:fill="auto"/>
      <w:vertAlign w:val="baseline"/>
      <w:lang w:val="en-US"/>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radford LL" w:cs="Arial Unicode MS" w:hAnsi="Bradford L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