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8" cy="771530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8" cy="771530"/>
                          <a:chOff x="0" y="-1"/>
                          <a:chExt cx="1704977" cy="77152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1704978" cy="771531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1758" y="119336"/>
                            <a:ext cx="1101460" cy="5328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-1" coordsize="1704978,771530">
                <w10:wrap type="none" side="bothSides" anchorx="text" anchory="page"/>
                <v:oval id="_x0000_s1027" style="position:absolute;left:0;top:-1;width:1704978;height:771530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6;width:1101459;height:53285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Fangst og fiskeri ved Isfjorden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Mellemtrinnet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er ogs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muligt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</w:rPr>
        <w:t>get.</w:t>
      </w: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 A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temaet.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"https://isfjordscentret.gl/wp-content/uploads/2022/10/Fangst_final.pdf"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Fangst og fiskeri </w:t>
      </w:r>
      <w:r>
        <w:rPr>
          <w:rStyle w:val="Hyperlink.0"/>
          <w:rtl w:val="0"/>
        </w:rPr>
        <w:t>…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</w:rPr>
        <w:t xml:space="preserve">) 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Naturfagene, iagttagelse samt kommunikation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eleverne opn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r viden om flere hundrede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r gamle fangstmetoder, metoder der stadig anvendes, men med mere moderne udstyr.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de opn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en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rlig viden om inuits oprindelige tro, herunder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ndemanerens status og rolle, og sagnet om </w:t>
      </w:r>
      <w:r>
        <w:rPr>
          <w:rStyle w:val="Ingen"/>
          <w:i w:val="1"/>
          <w:iCs w:val="1"/>
          <w:rtl w:val="0"/>
          <w:lang w:val="da-DK"/>
        </w:rPr>
        <w:t>Havets Moder</w:t>
      </w:r>
      <w:r>
        <w:rPr>
          <w:rStyle w:val="Ingen"/>
          <w:rtl w:val="0"/>
          <w:lang w:val="da-DK"/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de opn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r kendskab til, hvad fiskeriet betyder for livet i Isfjorden. 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</w:rPr>
        <w:t>Giv en instruktion til arkene.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P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>infoarkets forside er der en kort tekst, som eleverne skal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se. P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>bagsiden er der to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 til hver af de fem isskosser. Ud for fire af billederne er der en cirkel med et bogstav i.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>de danner kodeordet. (hval)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P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"https://isfjordscentret.gl/da/fangst-og-fiskeri-mellemtrinnet/"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 A"/>
        <w:tabs>
          <w:tab w:val="right" w:pos="9356"/>
        </w:tabs>
      </w:pPr>
    </w:p>
    <w:p>
      <w:pPr>
        <w:pStyle w:val="Brødtekst A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til </w:t>
      </w:r>
      <w:r>
        <w:rPr>
          <w:rStyle w:val="Ingen"/>
          <w:rtl w:val="0"/>
        </w:rPr>
        <w:t>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</w:rPr>
        <w:t>Fangst og fiskeri ved Isfjorden.</w:t>
      </w:r>
      <w:r>
        <w:rPr>
          <w:rStyle w:val="Ingen"/>
          <w:rtl w:val="0"/>
        </w:rPr>
        <w:t xml:space="preserve"> Instruer dem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isskosserne,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e-DE"/>
        </w:rPr>
        <w:t>lene. Opford</w:t>
      </w:r>
      <w:r>
        <w:rPr>
          <w:rStyle w:val="Ingen"/>
          <w:rtl w:val="0"/>
          <w:lang w:val="da-DK"/>
        </w:rPr>
        <w:t>er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i mindre grupper.</w:t>
      <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HELLEFISKERI 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8-21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bookmarkStart w:name="_Hlk130385754" w:id="0"/>
      <w:r>
        <w:rPr>
          <w:rStyle w:val="Ingen"/>
          <w:rFonts w:ascii="Bookman Old Style" w:hAnsi="Bookman Old Style"/>
          <w:rtl w:val="0"/>
          <w:lang w:val="da-DK"/>
        </w:rPr>
        <w:t>I isskossen ses en figur, der fisker med langline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 xml:space="preserve">havisen. En fangstmetode, inuit har anvendt til fiskeri af hellefisk i mere end 300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r.</w:t>
      </w:r>
      <w:bookmarkEnd w:id="0"/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at man i mere end 300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har fanget hellefisk fra havisen med langliner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sat kroge lavet af barder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og at metoden i dag er den sammen blot med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glidere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og kroge af metal.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billedet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forsiden af infoarket eller s. 12-13 i bogen, som illustrerer fangst i gamle dage, og sammenlign med billederne af det moderne fiskeri s. 19-21 i bogen.</w:t>
      </w: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</w:t>
      </w:r>
      <w:r>
        <w:rPr>
          <w:rStyle w:val="Ingen"/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LFANGST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22-33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ses en fanger med sin kajak og harpun klar til sommerfangst. Saqqaq-folket, som boede ved Isfjorden fra 2500-800 f.v.t., brugte en tidlig version af kajakken og harpunen til sommerfangst. Redskaberne og fart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jerne udvikledes s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 xml:space="preserve">rligt omkring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 xml:space="preserve">r 1200 da inuit/Thule-folket kom til. De har ikke 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ndret sig v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sentligt siden da.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at inuit udviklede kajakken til den, som vi kender i dag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forskellen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sommerfangst og vinterfangst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at kajakken i dag er afl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st af joller og motorb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de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HVALFANGST 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s. 34-45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ser man en hval. Hvaler var for inuit en vigtig del af deres f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de. Hvalens k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d og sp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k kunne sikre bopladsen overlevelse hele vinteren. Hvalerne blev fanget fra umiaq (koneb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d). Normalt var det kvinderne, der roede den, men n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 der skulle fanges hvaler, var det m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ndene. Siden 1920</w:t>
      </w:r>
      <w:r>
        <w:rPr>
          <w:rStyle w:val="Ingen"/>
          <w:rFonts w:ascii="Bookman Old Style" w:hAnsi="Bookman Old Style" w:hint="default"/>
          <w:rtl w:val="0"/>
          <w:lang w:val="da-DK"/>
        </w:rPr>
        <w:t>’</w:t>
      </w:r>
      <w:r>
        <w:rPr>
          <w:rStyle w:val="Ingen"/>
          <w:rFonts w:ascii="Bookman Old Style" w:hAnsi="Bookman Old Style"/>
          <w:rtl w:val="0"/>
          <w:lang w:val="da-DK"/>
        </w:rPr>
        <w:t>erne er det mere moderne b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dtyper, man bruger til hvalfangst.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deres bud p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, hvilken hvalart det er i isskossen.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detaljerne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tegningen s. 37 i bogen, der illustrerer hval- og s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 xml:space="preserve">lfangst omkring 1887-1900. 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hvalens betydning for inuits overlevelse.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>hvad hvalerne ud over f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de er blevet brugt til.</w:t>
      </w: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SHAMANEN </w:t>
      </w:r>
      <w:r>
        <w:rPr>
          <w:rStyle w:val="Ingen"/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NATUR OG MENNESKER</w:t>
      </w:r>
      <w:r>
        <w:rPr>
          <w:rStyle w:val="Ingen"/>
          <w:rFonts w:ascii="Bookman Old Style" w:hAnsi="Bookman Old Style"/>
          <w:rtl w:val="0"/>
          <w:lang w:val="da-DK"/>
        </w:rPr>
        <w:t xml:space="preserve"> </w:t>
        <w:tab/>
        <w:t>s. 46-53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i w:val="1"/>
          <w:iCs w:val="1"/>
        </w:rPr>
      </w:pPr>
      <w:r>
        <w:rPr>
          <w:rStyle w:val="Ingen"/>
          <w:rFonts w:ascii="Bookman Old Style" w:hAnsi="Bookman Old Style"/>
          <w:rtl w:val="0"/>
          <w:lang w:val="da-DK"/>
        </w:rPr>
        <w:t>I isskossen k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rer en animation,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Shamanens rejse til havets moder, </w:t>
      </w:r>
      <w:r>
        <w:rPr>
          <w:rStyle w:val="Ingen"/>
          <w:rFonts w:ascii="Bookman Old Style" w:hAnsi="Bookman Old Style"/>
          <w:rtl w:val="0"/>
          <w:lang w:val="da-DK"/>
        </w:rPr>
        <w:t>der viser, hvordan shamanen med sin magi s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tter fangstdyrene fri, som er fanget i h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ret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"https://visitgreenland.com/da/om-groenland/sagnet-om-havets-moder/"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Havets Moder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da-DK"/>
        </w:rPr>
        <w:t xml:space="preserve">. Kort fortalt: 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rtl w:val="0"/>
          <w:lang w:val="da-DK"/>
        </w:rPr>
        <w:t>Havets moder d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jede med inuitternes misgerninger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bopladsen og samlede som straf alle fangstdyrene i sin filtrede h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rpragt p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å </w:t>
      </w:r>
      <w:r>
        <w:rPr>
          <w:rStyle w:val="Ingen"/>
          <w:rFonts w:ascii="Bookman Old Style" w:hAnsi="Bookman Old Style"/>
          <w:rtl w:val="0"/>
          <w:lang w:val="da-DK"/>
        </w:rPr>
        <w:t>bunden af havet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rtl w:val="0"/>
          <w:lang w:val="da-DK"/>
        </w:rPr>
        <w:t xml:space="preserve">. 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det de har set i animationen. Kender de ikke sagnet om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Havets moder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kan de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 om det p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s. 50 i bogen.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at shamanen, angakkoq, var forbindelsesleddet mellem den fysiske verden og den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ndelige verden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de rekvisitter shamanen brugte ved sin rejse til den </w:t>
      </w:r>
      <w:r>
        <w:rPr>
          <w:rStyle w:val="Ingen"/>
          <w:rFonts w:ascii="Bookman Old Style" w:hAnsi="Bookman Old Style" w:hint="default"/>
          <w:rtl w:val="0"/>
          <w:lang w:val="da-DK"/>
        </w:rPr>
        <w:t>å</w:t>
      </w:r>
      <w:r>
        <w:rPr>
          <w:rStyle w:val="Ingen"/>
          <w:rFonts w:ascii="Bookman Old Style" w:hAnsi="Bookman Old Style"/>
          <w:rtl w:val="0"/>
          <w:lang w:val="da-DK"/>
        </w:rPr>
        <w:t>ndelige verden. Se billedet s. 53</w:t>
      </w:r>
    </w:p>
    <w:p>
      <w:pPr>
        <w:pStyle w:val="Brødtekst A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FORBEREDELSE TIL FANGST</w:t>
      </w:r>
      <w:r>
        <w:rPr>
          <w:rStyle w:val="Ingen"/>
          <w:rtl w:val="0"/>
          <w:lang w:val="pt-PT"/>
        </w:rPr>
        <w:t xml:space="preserve"> </w:t>
        <w:tab/>
        <w:t>s. 54-59</w:t>
      </w:r>
    </w:p>
    <w:p>
      <w:pPr>
        <w:pStyle w:val="Brødtekst A"/>
        <w:tabs>
          <w:tab w:val="right" w:pos="9612"/>
        </w:tabs>
      </w:pPr>
      <w:r>
        <w:rPr>
          <w:rStyle w:val="Ingen"/>
          <w:rtl w:val="0"/>
          <w:lang w:val="da-DK"/>
        </w:rPr>
        <w:t>I isskossen ser man en kvinde, der er ved at reng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fr-FR"/>
        </w:rPr>
        <w:t>re et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nl-NL"/>
        </w:rPr>
        <w:t>lskind. Inuit var afh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ngige af naturens magter og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og for fangerne var det derfor vigtigt at opretholde gode relationer med fangstdyrenes sj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le. Det gjorde de ved at respektere tabuer, udf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re ritualer og andre skikke.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hvilket redskab kvinderne bruger til at skrabe fedtlaget af skindets underside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inuit,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ndernes forf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dre, forberedte sig til fangstheld, og om de kender til ritualer fra deres egen hverdag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at en hvalrosklo rummer dens </w:t>
      </w:r>
      <w:r>
        <w:rPr>
          <w:rStyle w:val="Ingen"/>
          <w:i w:val="1"/>
          <w:iCs w:val="1"/>
          <w:rtl w:val="0"/>
          <w:lang w:val="da-DK"/>
        </w:rPr>
        <w:t>inua</w:t>
      </w:r>
      <w:r>
        <w:rPr>
          <w:rStyle w:val="Ingen"/>
          <w:rtl w:val="0"/>
          <w:lang w:val="da-DK"/>
        </w:rPr>
        <w:t>, og p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>den 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 overf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rer hvalrossens kraft og egenskaber til det menneske, der b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rer den som amulet.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widowControl w:val="1"/>
        <w:tabs>
          <w:tab w:val="right" w:pos="9612"/>
          <w:tab w:val="clear" w:pos="340"/>
        </w:tabs>
        <w:suppressAutoHyphens w:val="0"/>
        <w:spacing w:after="160" w:line="259" w:lineRule="auto"/>
        <w:rPr>
          <w:rStyle w:val="Ingen"/>
          <w:rFonts w:ascii="Calibri Light" w:cs="Calibri Light" w:hAnsi="Calibri Light" w:eastAsia="Calibri Light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"/>
          <w:rtl w:val="0"/>
        </w:rPr>
        <w:t>Lav en opsamling i klassen, og lad eleverne 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 deres svar for hinanden i mindre grupper.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  <w:rPr>
          <w:rStyle w:val="Ingen"/>
          <w:i w:val="1"/>
          <w:iCs w:val="1"/>
        </w:rPr>
      </w:pPr>
      <w:r>
        <w:rPr>
          <w:rStyle w:val="Ingen"/>
          <w:rtl w:val="0"/>
          <w:lang w:val="da-DK"/>
        </w:rPr>
        <w:t>Arbejd videre med fangst og fiskeri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 i fortid og nutid med udgangspunkt i bogens tekster og illustrationer.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lk128655597" w:id="1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"https://isfjordscentret.gl/da/fangst-og-fiskeri-mellemtrinnet/"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Fangst og fiskeri ved Isfjorden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  <w:bookmarkEnd w:id="1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