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 A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-177799</wp:posOffset>
                </wp:positionV>
                <wp:extent cx="1730380" cy="783026"/>
                <wp:effectExtent l="0" t="0" r="0" b="0"/>
                <wp:wrapNone/>
                <wp:docPr id="1073741827" name="officeArt object" descr="Sha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380" cy="783026"/>
                          <a:chOff x="0" y="-1"/>
                          <a:chExt cx="1730379" cy="78302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2"/>
                            <a:ext cx="1730381" cy="783027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305482" y="121020"/>
                            <a:ext cx="1119413" cy="54098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 A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ffffff"/>
                                  <w:u w:color="ffffff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ffffff"/>
                                  <w:u w:color="ffffff"/>
                                  <w:vertAlign w:val="baseline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ffffff"/>
                                  <w:u w:color="ffffff"/>
                                  <w:vertAlign w:val="baseline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36.3pt;height:61.7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-1" coordsize="1730380,783026">
                <w10:wrap type="none" side="bothSides" anchorx="text"/>
                <v:oval id="_x0000_s1027" style="position:absolute;left:0;top:-1;width:1730380;height:783026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5482;top:121020;width:1119412;height:54098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 A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ffffff"/>
                            <w:u w:color="ffffff"/>
                            <w:vertAlign w:val="baseline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ffffff"/>
                            <w:u w:color="ffffff"/>
                            <w:vertAlign w:val="baseline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ffffff"/>
                            <w:u w:color="ffffff"/>
                            <w:vertAlign w:val="baseline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Det rige liv ved Isfjorden</w:t>
      </w:r>
      <w:r>
        <w:rPr>
          <w:rFonts w:ascii="Bradford LL Medium" w:hAnsi="Bradford LL Medium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 A"/>
          <w:rtl w:val="0"/>
        </w:rPr>
        <w:t xml:space="preserve"> 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 w:hint="default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ldstetrinnet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pt-PT"/>
        </w:rPr>
        <w:t>OM BES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Ø</w:t>
      </w:r>
      <w:r>
        <w:rPr>
          <w:rFonts w:ascii="Bookman Old Style" w:hAnsi="Bookman Old Style"/>
          <w:sz w:val="24"/>
          <w:szCs w:val="24"/>
          <w:rtl w:val="0"/>
        </w:rPr>
        <w:t>GSMATERIALET</w:t>
      </w:r>
    </w:p>
    <w:p>
      <w:pPr>
        <w:pStyle w:val="Brødtekst A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er ogs</w:t>
      </w:r>
      <w:r>
        <w:rPr>
          <w:rFonts w:ascii="Bradford LL" w:hAnsi="Bradford LL" w:hint="default"/>
          <w:rtl w:val="0"/>
          <w:lang w:val="da-DK"/>
        </w:rPr>
        <w:t xml:space="preserve">å </w:t>
      </w:r>
      <w:r>
        <w:rPr>
          <w:rFonts w:ascii="Bradford LL" w:hAnsi="Bradford LL"/>
          <w:rtl w:val="0"/>
          <w:lang w:val="da-DK"/>
        </w:rPr>
        <w:t>muligt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</w:rPr>
        <w:t>get.</w:t>
      </w:r>
    </w:p>
    <w:p>
      <w:pPr>
        <w:pStyle w:val="Brødtekst A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</w:p>
    <w:p>
      <w:pPr>
        <w:pStyle w:val="Brødtekst A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</w:rPr>
        <w:t>Det best</w:t>
      </w:r>
      <w:r>
        <w:rPr>
          <w:rFonts w:ascii="Bradford LL" w:hAnsi="Bradford LL" w:hint="default"/>
          <w:rtl w:val="0"/>
          <w:lang w:val="da-DK"/>
        </w:rPr>
        <w:t>å</w:t>
      </w:r>
      <w:r>
        <w:rPr>
          <w:rFonts w:ascii="Bradford LL" w:hAnsi="Bradford LL"/>
          <w:rtl w:val="0"/>
          <w:lang w:val="da-DK"/>
        </w:rPr>
        <w:t xml:space="preserve">r af </w:t>
      </w:r>
    </w:p>
    <w:p>
      <w:pPr>
        <w:pStyle w:val="Brødtekst A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en grundplan over udstillingen</w:t>
      </w:r>
    </w:p>
    <w:p>
      <w:pPr>
        <w:pStyle w:val="Brødtekst A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</w:rPr>
      </w:pPr>
      <w:r>
        <w:rPr>
          <w:rFonts w:ascii="Bradford LL" w:hAnsi="Bradford L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 infoark og et svarark til eleverne</w:t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radford LL" w:hAnsi="Bradford LL"/>
          <w:rtl w:val="0"/>
          <w:lang w:val="da-DK"/>
        </w:rPr>
        <w:t>Side</w:t>
      </w:r>
      <w:r>
        <w:rPr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henvisningerne p</w:t>
      </w:r>
      <w:r>
        <w:rPr>
          <w:rFonts w:ascii="Bradford LL" w:hAnsi="Bradford LL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svararket er til den bog, der er placeret ved temaet.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"http://isfjordscentret.gl/wp-content/uploads/2022/09/Bilag-3.Detrigeliv.pdf"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 xml:space="preserve">Det rige liv </w:t>
      </w:r>
      <w:r>
        <w:rPr>
          <w:rStyle w:val="Hyperlink.0"/>
          <w:rtl w:val="0"/>
          <w:lang w:val="da-DK"/>
        </w:rPr>
        <w:t>…</w:t>
      </w:r>
      <w:r>
        <w:rPr/>
        <w:fldChar w:fldCharType="end" w:fldLock="0"/>
      </w:r>
      <w:r>
        <w:rPr>
          <w:rStyle w:val="Ingen"/>
          <w:rFonts w:ascii="Bradford LL" w:hAnsi="Bradford L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FAG OG KOMPETENCEOMR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DER</w:t>
      </w:r>
    </w:p>
    <w:p>
      <w:pPr>
        <w:pStyle w:val="Brødtekst A"/>
        <w:tabs>
          <w:tab w:val="right" w:pos="9356"/>
        </w:tabs>
      </w:pPr>
      <w:r>
        <w:rPr>
          <w:rStyle w:val="Ingen A"/>
          <w:rtl w:val="0"/>
        </w:rPr>
        <w:t>Naturfagene, iagttagelse samt skriftlig og mundtlig kommunikation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</w:rPr>
        <w:t>L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Æ</w:t>
      </w:r>
      <w:r>
        <w:rPr>
          <w:rStyle w:val="Ingen"/>
          <w:rFonts w:ascii="Bookman Old Style" w:hAnsi="Bookman Old Style"/>
          <w:sz w:val="24"/>
          <w:szCs w:val="24"/>
          <w:rtl w:val="0"/>
          <w:lang w:val="en-US"/>
        </w:rPr>
        <w:t>RINGSM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Style w:val="Ingen"/>
          <w:rFonts w:ascii="Bookman Old Style" w:hAnsi="Bookman Old Style"/>
          <w:sz w:val="24"/>
          <w:szCs w:val="24"/>
          <w:rtl w:val="0"/>
        </w:rPr>
        <w:t>L</w:t>
      </w:r>
    </w:p>
    <w:p>
      <w:pPr>
        <w:pStyle w:val="Brødtekst A"/>
        <w:numPr>
          <w:ilvl w:val="0"/>
          <w:numId w:val="4"/>
        </w:numPr>
      </w:pPr>
      <w:r>
        <w:rPr>
          <w:rStyle w:val="Ingen A"/>
          <w:rtl w:val="0"/>
        </w:rPr>
        <w:t>eleverne opn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 xml:space="preserve">r viden om de biotiske og abiotiske betingelser for det rige liv ved Isfjorden </w:t>
      </w:r>
      <w:r>
        <w:rPr>
          <w:rStyle w:val="Ingen A"/>
          <w:rtl w:val="0"/>
        </w:rPr>
        <w:t xml:space="preserve">– </w:t>
      </w:r>
      <w:r>
        <w:rPr>
          <w:rStyle w:val="Ingen"/>
          <w:rtl w:val="0"/>
          <w:lang w:val="da-DK"/>
        </w:rPr>
        <w:t xml:space="preserve">samt hvordan 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ndringer i disse betingelser kan p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 xml:space="preserve">virke et 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kosystem</w:t>
      </w:r>
    </w:p>
    <w:p>
      <w:pPr>
        <w:pStyle w:val="Brødtekst A"/>
        <w:numPr>
          <w:ilvl w:val="0"/>
          <w:numId w:val="4"/>
        </w:numPr>
      </w:pPr>
      <w:r>
        <w:rPr>
          <w:rStyle w:val="Ingen A"/>
          <w:rtl w:val="0"/>
        </w:rPr>
        <w:t>eleverne f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indsigt i det arktiske marine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 xml:space="preserve">denet </w:t>
      </w:r>
      <w:r>
        <w:rPr>
          <w:rStyle w:val="Ingen A"/>
          <w:rtl w:val="0"/>
        </w:rPr>
        <w:t xml:space="preserve">– </w:t>
      </w:r>
      <w:r>
        <w:rPr>
          <w:rStyle w:val="Ingen A"/>
          <w:rtl w:val="0"/>
        </w:rPr>
        <w:t>b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 viden om den enkelte dyreart og det indbyrdes forhold mellem arterne</w:t>
      </w:r>
    </w:p>
    <w:p>
      <w:pPr>
        <w:pStyle w:val="Brødtekst A"/>
        <w:numPr>
          <w:ilvl w:val="0"/>
          <w:numId w:val="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 xml:space="preserve">eleverne stifter bekendtskab med biologisk klassifikation 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VEJLEDNING</w:t>
      </w: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Start med at lade eleverne g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opdagelse i udstillingen i et aftalt antal minutter. Saml dem herefter i omr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det anvist af personalet.</w:t>
      </w: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Gennemg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grundplanen, og lad dem finde </w:t>
      </w:r>
      <w:r>
        <w:rPr>
          <w:rStyle w:val="Ingen A"/>
          <w:rtl w:val="0"/>
        </w:rPr>
        <w:t>de isskosser, som repr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senterer </w:t>
      </w:r>
      <w:r>
        <w:rPr>
          <w:rStyle w:val="Ingen"/>
          <w:i w:val="1"/>
          <w:iCs w:val="1"/>
          <w:rtl w:val="0"/>
        </w:rPr>
        <w:t>Det rige liv ved Isfjorden.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 A"/>
          <w:rtl w:val="0"/>
        </w:rPr>
        <w:t>Giv en instruktion til arkene.</w:t>
      </w:r>
    </w:p>
    <w:p>
      <w:pPr>
        <w:pStyle w:val="Brødtekst A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infoarkets forside er der en kort tekst, som eleverne skal 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se. 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bagsiden er der </w:t>
      </w:r>
      <w:r>
        <w:rPr>
          <w:rStyle w:val="Ingen A"/>
          <w:rtl w:val="0"/>
        </w:rPr>
        <w:t>et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sp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rgsm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l til hver af de seks isskosser. Forbogstavet </w:t>
      </w:r>
      <w:r>
        <w:rPr>
          <w:rStyle w:val="Ingen"/>
          <w:rtl w:val="0"/>
          <w:lang w:val="da-DK"/>
        </w:rPr>
        <w:t>fra svaret til hvert af 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lene suppleret med et gratis E skal eleverne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tte sammen til et relevant begreb, og her r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ber vi l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sningen: </w:t>
      </w:r>
      <w:r>
        <w:rPr>
          <w:rStyle w:val="Ingen"/>
          <w:i w:val="1"/>
          <w:iCs w:val="1"/>
          <w:rtl w:val="0"/>
        </w:rPr>
        <w:t>f</w:t>
      </w:r>
      <w:r>
        <w:rPr>
          <w:rStyle w:val="Ingen"/>
          <w:i w:val="1"/>
          <w:iCs w:val="1"/>
          <w:rtl w:val="0"/>
          <w:lang w:val="da-DK"/>
        </w:rPr>
        <w:t>ø</w:t>
      </w:r>
      <w:r>
        <w:rPr>
          <w:rStyle w:val="Ingen"/>
          <w:i w:val="1"/>
          <w:iCs w:val="1"/>
          <w:rtl w:val="0"/>
        </w:rPr>
        <w:t>denet</w:t>
      </w:r>
      <w:r>
        <w:rPr>
          <w:rStyle w:val="Ingen A"/>
          <w:rtl w:val="0"/>
        </w:rPr>
        <w:t>.</w:t>
      </w:r>
    </w:p>
    <w:p>
      <w:pPr>
        <w:pStyle w:val="Brødtekst A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svararket er der plads til at eleverne kan notere deres svar. Sidehenvisningerne til bogen kan hj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lpe dem med at finde svar.</w:t>
      </w:r>
    </w:p>
    <w:p>
      <w:pPr>
        <w:pStyle w:val="Brødtekst A"/>
        <w:numPr>
          <w:ilvl w:val="0"/>
          <w:numId w:val="6"/>
        </w:numPr>
      </w:pPr>
      <w:r>
        <w:rPr>
          <w:rStyle w:val="Ingen A"/>
          <w:rtl w:val="0"/>
        </w:rPr>
        <w:t>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svararket er der flere 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l til de enkelte isskosser som eleverne skal besvare.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 A"/>
          <w:rtl w:val="0"/>
        </w:rPr>
        <w:t>Foretr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man at arbejde digitalt, kan man finde materialet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ringsportal: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"https://isfjordscentret.gl/da/det-rige-liv-ved-isfjorden-aeldstetrinnet/"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bes</w:t>
      </w:r>
      <w:r>
        <w:rPr>
          <w:rStyle w:val="Hyperlink.0"/>
          <w:rtl w:val="0"/>
          <w:lang w:val="da-DK"/>
        </w:rPr>
        <w:t>ø</w:t>
      </w:r>
      <w:r>
        <w:rPr>
          <w:rStyle w:val="Hyperlink.1"/>
          <w:rtl w:val="0"/>
        </w:rPr>
        <w:t>gsmaterialet</w:t>
      </w:r>
      <w:r>
        <w:rPr/>
        <w:fldChar w:fldCharType="end" w:fldLock="0"/>
      </w:r>
      <w:r>
        <w:rPr>
          <w:rStyle w:val="Ingen A"/>
          <w:rtl w:val="0"/>
        </w:rPr>
        <w:t xml:space="preserve">. </w:t>
      </w:r>
    </w:p>
    <w:p>
      <w:pPr>
        <w:pStyle w:val="Brødtekst A"/>
        <w:tabs>
          <w:tab w:val="right" w:pos="9356"/>
        </w:tabs>
        <w:spacing w:before="120"/>
      </w:pP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Man kan med fordel organisere eleverne parvis eller i mindre grupper. Opfordr dem gerne til at studere isskosserne grundigt inden de svarer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lene. Giv gerne tid til at eleverne kan komme med undringssp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pt-PT"/>
        </w:rPr>
        <w:t>l.</w:t>
      </w:r>
    </w:p>
    <w:p>
      <w:pPr>
        <w:pStyle w:val="Brødtekst A"/>
        <w:tabs>
          <w:tab w:val="right" w:pos="9356"/>
        </w:tabs>
      </w:pP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Forslag til arbejdet med isskosserne under/efter bes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>get</w:t>
      </w:r>
    </w:p>
    <w:p>
      <w:pPr>
        <w:pStyle w:val="Brødtekst A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keepNext w:val="1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FOR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Å</w:t>
      </w:r>
      <w:r>
        <w:rPr>
          <w:rStyle w:val="Inge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RSOPBLOMSTRINGEN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>s. 8-15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 isskossen k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rer en animation, der viser, hvordan opblomstringen sker. 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 mere herom i bogen.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hvor er koncentrationen af 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ringsstoffer og plankton st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rst, og hvad skyldes det?</w:t>
      </w:r>
    </w:p>
    <w:p>
      <w:pPr>
        <w:pStyle w:val="Brødtekst A"/>
        <w:numPr>
          <w:ilvl w:val="0"/>
          <w:numId w:val="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er en gletsjer, hvordan bev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ger den sig, og hvad betyder det, at den </w:t>
      </w:r>
      <w:r>
        <w:rPr>
          <w:rStyle w:val="Ingen"/>
          <w:i w:val="1"/>
          <w:iCs w:val="1"/>
          <w:rtl w:val="0"/>
        </w:rPr>
        <w:t>k</w:t>
      </w:r>
      <w:r>
        <w:rPr>
          <w:rStyle w:val="Ingen"/>
          <w:i w:val="1"/>
          <w:iCs w:val="1"/>
          <w:rtl w:val="0"/>
          <w:lang w:val="da-DK"/>
        </w:rPr>
        <w:t>æ</w:t>
      </w:r>
      <w:r>
        <w:rPr>
          <w:rStyle w:val="Ingen"/>
          <w:i w:val="1"/>
          <w:iCs w:val="1"/>
          <w:rtl w:val="0"/>
        </w:rPr>
        <w:t>lver</w:t>
      </w:r>
      <w:r>
        <w:rPr>
          <w:rStyle w:val="Ingen"/>
          <w:rtl w:val="0"/>
          <w:lang w:val="zh-TW" w:eastAsia="zh-TW"/>
        </w:rPr>
        <w:t>?</w:t>
      </w:r>
    </w:p>
    <w:p>
      <w:pPr>
        <w:pStyle w:val="Brødtekst A"/>
        <w:numPr>
          <w:ilvl w:val="0"/>
          <w:numId w:val="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er fotosyntesens rolle i for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rsopblomstringen, og hvorfor er det netop om for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ret at opblomstringen finder sted?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VANDLOPPER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>s. 1</w:t>
      </w:r>
      <w:r>
        <w:rPr>
          <w:rStyle w:val="Ingen A"/>
          <w:rtl w:val="0"/>
        </w:rPr>
        <w:t>6-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</w:t>
      </w:r>
      <w:r>
        <w:rPr>
          <w:rStyle w:val="Ingen A"/>
          <w:rtl w:val="0"/>
        </w:rPr>
        <w:t>1</w:t>
      </w: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Vandloppen er det mest talrige flercellede dyr, og det har en central rolle i det arktiske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denet. Vandloppen i Diskobugten og Isfjorden er den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rlig fedtholdige art </w:t>
      </w:r>
      <w:r>
        <w:rPr>
          <w:rStyle w:val="Ingen"/>
          <w:i w:val="1"/>
          <w:iCs w:val="1"/>
          <w:rtl w:val="0"/>
          <w:lang w:val="it-IT"/>
        </w:rPr>
        <w:t>Calanus</w:t>
      </w:r>
      <w:r>
        <w:rPr>
          <w:rStyle w:val="Ingen A"/>
          <w:rtl w:val="0"/>
        </w:rPr>
        <w:t>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  <w:lang w:val="nl-NL"/>
        </w:rPr>
        <w:t>Vandloppens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degrundlag er isalger og andet planteplankton der har tilpasset sig livet under isen. Isalger har tilpasset sig ved at kunne lave fotosyntese selv ved sparsomt sollys.</w:t>
      </w:r>
    </w:p>
    <w:p>
      <w:pPr>
        <w:pStyle w:val="Brødtekst A"/>
        <w:tabs>
          <w:tab w:val="right" w:pos="9612"/>
        </w:tabs>
        <w:rPr>
          <w:rStyle w:val="Inge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forskellen er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en encellet og flercellet organisme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et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denet er, og hvad der sker hvis der ikke er nok vandlopper i 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kosystemet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 xml:space="preserve">hvad det vil sige at en organisme har tilpasset sig sine omgivelser </w:t>
      </w:r>
      <w:r>
        <w:rPr>
          <w:rStyle w:val="Ingen A"/>
          <w:rtl w:val="0"/>
        </w:rPr>
        <w:t xml:space="preserve">– </w:t>
      </w:r>
      <w:r>
        <w:rPr>
          <w:rStyle w:val="Ingen"/>
          <w:rtl w:val="0"/>
          <w:lang w:val="da-DK"/>
        </w:rPr>
        <w:t xml:space="preserve">brug evt. begrebet </w:t>
      </w:r>
      <w:r>
        <w:rPr>
          <w:rStyle w:val="Ingen"/>
          <w:i w:val="1"/>
          <w:iCs w:val="1"/>
          <w:rtl w:val="0"/>
          <w:lang w:val="it-IT"/>
        </w:rPr>
        <w:t>niche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DYBHAVSREJEN 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>s. 2</w:t>
      </w:r>
      <w:r>
        <w:rPr>
          <w:rStyle w:val="Ingen A"/>
          <w:rtl w:val="0"/>
        </w:rPr>
        <w:t>2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-2</w:t>
      </w:r>
      <w:r>
        <w:rPr>
          <w:rStyle w:val="Ingen A"/>
          <w:rtl w:val="0"/>
        </w:rPr>
        <w:t>9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Dybhavsrejen er hermafrodi</w:t>
      </w:r>
      <w:r>
        <w:rPr>
          <w:rStyle w:val="Ingen"/>
          <w:rtl w:val="0"/>
          <w:lang w:val="da-DK"/>
        </w:rPr>
        <w:t>t,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rst han, siden hun, og den udg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 en vigtig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dekilde i det arktiske marine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denet. Derudover spiller den en v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sentlig rolle for fiskeriet og 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konomien i Ilulissat.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 bogen kan man 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se om to andre krebsdyr: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lyskrebs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og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den store gr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nlandske krabbe.</w:t>
      </w:r>
      <w:r>
        <w:rPr>
          <w:rStyle w:val="Ingen"/>
          <w:rtl w:val="0"/>
          <w:lang w:val="da-DK"/>
        </w:rPr>
        <w:t xml:space="preserve"> Lyskrebs kalder man ogs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krill, og de bliver omtalt som havisens gr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ssl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 xml:space="preserve">maskiner. 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hvorfor nogle dyr har udviklet sig til at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es-ES_tradnl"/>
        </w:rPr>
        <w:t>re hermafroditter</w:t>
      </w:r>
    </w:p>
    <w:p>
      <w:pPr>
        <w:pStyle w:val="Brødtekst A"/>
        <w:numPr>
          <w:ilvl w:val="0"/>
          <w:numId w:val="12"/>
        </w:numPr>
      </w:pPr>
      <w:r>
        <w:rPr>
          <w:rStyle w:val="Ingen A"/>
          <w:rtl w:val="0"/>
        </w:rPr>
        <w:t>hvad et krebsdyr er, og hvilke andre krebsdyr der lever i Isfjorden.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 A"/>
          <w:rtl w:val="0"/>
        </w:rPr>
        <w:t>hvilken rolle krill spiller i det arktiske marine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denet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HELLEFISKEN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  <w:tab/>
        <w:t>s. 3</w:t>
      </w:r>
      <w:r>
        <w:rPr>
          <w:rStyle w:val="Ingen A"/>
          <w:rtl w:val="0"/>
        </w:rPr>
        <w:t>0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-37</w:t>
      </w:r>
    </w:p>
    <w:p>
      <w:pPr>
        <w:pStyle w:val="Brødtekst A"/>
        <w:tabs>
          <w:tab w:val="right" w:pos="9612"/>
        </w:tabs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Hellefisk er den dominerende fiskeart i Isfjorden og lidt federe end sine artsf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ller i Diskobugten. Hellefisken </w:t>
      </w:r>
      <w:r>
        <w:rPr>
          <w:rStyle w:val="Ingen"/>
          <w:rtl w:val="0"/>
          <w:lang w:val="da-DK"/>
        </w:rPr>
        <w:t>er b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 bundlevende og pelagisk, til forskel fra andre fladfisk. Derudover er den h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jrevendt og adskiller sig fra andre fladfisk ved, at dens venstre 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je sidder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siden af kroppen og ikke t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t ved det h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jre 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 xml:space="preserve">je. 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 bogen kan man 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se om to andre fisk: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polartorsken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og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gr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nlandshajen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Polartorsken har tilpasset </w:t>
      </w:r>
      <w:r>
        <w:rPr>
          <w:rStyle w:val="Ingen"/>
          <w:rtl w:val="0"/>
          <w:lang w:val="da-DK"/>
        </w:rPr>
        <w:t xml:space="preserve">sig den ekstreme kulde ved at have </w:t>
      </w:r>
      <w:r>
        <w:rPr>
          <w:rStyle w:val="Ingen A"/>
          <w:rtl w:val="0"/>
        </w:rPr>
        <w:t>”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frostv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ske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 blodet</w:t>
      </w:r>
      <w:r>
        <w:rPr>
          <w:rStyle w:val="Ingen A"/>
          <w:rtl w:val="0"/>
        </w:rPr>
        <w:t>.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nlandshajen er stort set blind, men den har udviklet andre sanser s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den kan skaffe sig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 xml:space="preserve">de. 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keepNext w:val="1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keepNext w:val="1"/>
        <w:numPr>
          <w:ilvl w:val="0"/>
          <w:numId w:val="1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hvorfor hellefisken har tilpasset sig ved b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 at v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re bundlevende og pelagisk</w:t>
      </w:r>
    </w:p>
    <w:p>
      <w:pPr>
        <w:pStyle w:val="Brødtekst A"/>
        <w:numPr>
          <w:ilvl w:val="0"/>
          <w:numId w:val="14"/>
        </w:numPr>
      </w:pPr>
      <w:r>
        <w:rPr>
          <w:rStyle w:val="Ingen A"/>
          <w:rtl w:val="0"/>
        </w:rPr>
        <w:t>hvilken rolle polartorsken spiller i det arktiske marine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denet</w:t>
      </w:r>
    </w:p>
    <w:p>
      <w:pPr>
        <w:pStyle w:val="Brødtekst A"/>
        <w:numPr>
          <w:ilvl w:val="0"/>
          <w:numId w:val="1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at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nlandshajen er det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ngstlevende hvirveldyr, og hvordan den har tilpasset sig at leve sammen med de parasitiske vandlopper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GR</w:t>
      </w: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Ø</w:t>
      </w: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NLANDSS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LEN</w:t>
      </w:r>
      <w:r>
        <w:rPr>
          <w:rStyle w:val="Ingen"/>
          <w:rtl w:val="0"/>
          <w:lang w:val="pt-PT"/>
        </w:rPr>
        <w:t xml:space="preserve"> </w:t>
        <w:tab/>
        <w:t>s. 38-45</w:t>
      </w: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nl-NL"/>
        </w:rPr>
        <w:t>nlandss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len er den hyppigste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it-IT"/>
        </w:rPr>
        <w:t>l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den nordlige halvkugle, og det er ogs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den hurtigste s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l. Den sv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mmer delfinsv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mning, og dermed udnytter den at der er mindre modstand i luften end der er i vandet.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e-DE"/>
        </w:rPr>
        <w:t>lungen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fr-FR"/>
        </w:rPr>
        <w:t>des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havisen, og i starten af sit liv har den kun pelsen til at v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rne sig mod kulden. </w:t>
      </w: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I bogen kan man ogs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se om en anden s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l: </w:t>
      </w:r>
      <w:r>
        <w:rPr>
          <w:rStyle w:val="Ingen"/>
          <w:i w:val="1"/>
          <w:iCs w:val="1"/>
          <w:rtl w:val="0"/>
        </w:rPr>
        <w:t>rings</w:t>
      </w:r>
      <w:r>
        <w:rPr>
          <w:rStyle w:val="Ingen"/>
          <w:i w:val="1"/>
          <w:iCs w:val="1"/>
          <w:rtl w:val="0"/>
          <w:lang w:val="da-DK"/>
        </w:rPr>
        <w:t>æ</w:t>
      </w:r>
      <w:r>
        <w:rPr>
          <w:rStyle w:val="Ingen"/>
          <w:i w:val="1"/>
          <w:iCs w:val="1"/>
          <w:rtl w:val="0"/>
        </w:rPr>
        <w:t>len.</w:t>
      </w:r>
      <w:r>
        <w:rPr>
          <w:rStyle w:val="Ingen A"/>
          <w:rtl w:val="0"/>
        </w:rPr>
        <w:t xml:space="preserve"> Rings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len har tilpasset sig livet under isen; den har kl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er, som den kan bruge til at lave 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 xml:space="preserve">ndehuller. 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Tal med eleverne om: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modstand i luften i forhold til i vandet, og hvordan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nl-NL"/>
        </w:rPr>
        <w:t>nlandss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len udnytter dette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forskellen 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ungens og den voksne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ls udseende 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en-US"/>
        </w:rPr>
      </w:pPr>
      <w:r>
        <w:rPr>
          <w:rStyle w:val="Ingen"/>
          <w:rtl w:val="0"/>
          <w:lang w:val="en-US"/>
        </w:rPr>
        <w:t>at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ler er pattedyr, og om de kender andre vandlevende pattedyr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hvordan rings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len beskytter sin unge mod rovdyr og kulde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GR</w:t>
      </w: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Ø</w:t>
      </w: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NLANDSHVALEN </w:t>
        <w:tab/>
      </w:r>
      <w:r>
        <w:rPr>
          <w:rStyle w:val="Ingen"/>
          <w:rtl w:val="0"/>
          <w:lang w:val="pt-PT"/>
        </w:rPr>
        <w:t>s. 46-55</w:t>
      </w: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Gr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nlandshvalen er en bardehval og har verdens tykkeste sp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klag. Derudover er den ogs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verdens l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ngstlevende pattedyr. Dens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degrundlag er dyreplankton.</w:t>
      </w: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I bogen kan man l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se om to andre hvaler: </w:t>
      </w:r>
      <w:r>
        <w:rPr>
          <w:rStyle w:val="Ingen"/>
          <w:i w:val="1"/>
          <w:iCs w:val="1"/>
          <w:rtl w:val="0"/>
          <w:lang w:val="da-DK"/>
        </w:rPr>
        <w:t xml:space="preserve">pukkelhvalen </w:t>
      </w:r>
      <w:r>
        <w:rPr>
          <w:rStyle w:val="Ingen"/>
          <w:rtl w:val="0"/>
          <w:lang w:val="da-DK"/>
        </w:rPr>
        <w:t xml:space="preserve">og </w:t>
      </w:r>
      <w:r>
        <w:rPr>
          <w:rStyle w:val="Ingen"/>
          <w:i w:val="1"/>
          <w:iCs w:val="1"/>
          <w:rtl w:val="0"/>
        </w:rPr>
        <w:t>narhvalen</w:t>
      </w:r>
      <w:r>
        <w:rPr>
          <w:rStyle w:val="Ingen"/>
          <w:rtl w:val="0"/>
          <w:lang w:val="da-DK"/>
        </w:rPr>
        <w:t>. Pukkelhvalen, der er ber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mt for sin komplekse, melankolske sang. Narhvalen, der har dyrerigets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nl-NL"/>
        </w:rPr>
        <w:t>ngste st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dtand.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Tal med eleverne om: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en bardehval er, og hvilke andre typer af hvaler der findes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hvorfor pukkelhvalen synger sin sang, og om der er andre dyr der synger sange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hvorfor det som hovedregel kun er hannarhvalen der har en st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dtand</w:t>
      </w:r>
    </w:p>
    <w:p>
      <w:pPr>
        <w:pStyle w:val="Brødtekst A"/>
        <w:widowControl w:val="1"/>
        <w:tabs>
          <w:tab w:val="right" w:pos="9612"/>
        </w:tabs>
        <w:spacing w:after="160" w:line="259" w:lineRule="auto"/>
        <w:rPr>
          <w:rStyle w:val="Ingen"/>
          <w:rFonts w:ascii="Calibri" w:cs="Calibri" w:hAnsi="Calibri" w:eastAsia="Calibri"/>
        </w:rPr>
      </w:pP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Yderlige forslag til arbejdet efter bes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 xml:space="preserve">get 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Lav en opsamling i klassen, og lad eleverne pr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sentere deres svar for hinanden i mindre grupper. Gruppen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lger de bedste svar, som deles med hele klassen.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Efter bes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get kan I arbejde videre med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nl-NL"/>
        </w:rPr>
        <w:t>lgende:</w:t>
      </w:r>
    </w:p>
    <w:p>
      <w:pPr>
        <w:pStyle w:val="Brødtekst A"/>
        <w:numPr>
          <w:ilvl w:val="0"/>
          <w:numId w:val="2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klimaforandringer, hvordan de kan p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virke tidspunktet for for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 xml:space="preserve">rsopblomstringen og hvilke konsekvenser det har for hele 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 xml:space="preserve">kosystemet i Diskobugten og Isfjorden. </w:t>
      </w:r>
    </w:p>
    <w:p>
      <w:pPr>
        <w:pStyle w:val="Brødtekst A"/>
        <w:numPr>
          <w:ilvl w:val="0"/>
          <w:numId w:val="2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evolution og tilpasning. Hvordan dyr har udviklet og tilpasset sig forskellige habitater. Samt hvilke nicher de forskellige dyr har.</w:t>
      </w:r>
    </w:p>
    <w:p>
      <w:pPr>
        <w:pStyle w:val="Brødtekst A"/>
        <w:numPr>
          <w:ilvl w:val="0"/>
          <w:numId w:val="2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modellering hvor I arbejder med at lave modeller af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denet i forskellige 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kosystemer.</w:t>
      </w:r>
    </w:p>
    <w:p>
      <w:pPr>
        <w:pStyle w:val="Overskrift 2"/>
        <w:tabs>
          <w:tab w:val="right" w:pos="9612"/>
        </w:tabs>
        <w:rPr>
          <w:rStyle w:val="Ingen"/>
          <w:rFonts w:ascii="Bradford LL" w:cs="Bradford LL" w:hAnsi="Bradford LL" w:eastAsia="Bradford LL"/>
        </w:rPr>
      </w:pPr>
    </w:p>
    <w:p>
      <w:pPr>
        <w:pStyle w:val="Brødtekst A"/>
        <w:tabs>
          <w:tab w:val="right" w:pos="9612"/>
        </w:tabs>
      </w:pPr>
      <w:bookmarkStart w:name="_headingh.gjdgxs" w:id="0"/>
      <w:bookmarkEnd w:id="0"/>
      <w:r>
        <w:rPr>
          <w:rStyle w:val="Ingen A"/>
          <w:rtl w:val="0"/>
        </w:rPr>
        <w:t>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ringsportal ligger der yderligere materiale til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"https://isfjordscentret.gl/da/det-rige-liv-ved-isfjorden-aeldstetrinnet/"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Det rige liv ved Isfjorden</w:t>
      </w:r>
      <w:r>
        <w:rPr/>
        <w:fldChar w:fldCharType="end" w:fldLock="0"/>
      </w:r>
      <w:r>
        <w:rPr>
          <w:rStyle w:val="Ingen"/>
          <w:i w:val="1"/>
          <w:iCs w:val="1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ret format 9"/>
  </w:abstractNum>
  <w:abstractNum w:abstractNumId="17">
    <w:multiLevelType w:val="hybridMultilevel"/>
    <w:styleLink w:val="Importeret format 9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ret format 10"/>
  </w:abstractNum>
  <w:abstractNum w:abstractNumId="19">
    <w:multiLevelType w:val="hybridMultilevel"/>
    <w:styleLink w:val="Importeret format 10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Ingen A">
    <w:name w:val="Ingen A"/>
  </w:style>
  <w:style w:type="paragraph" w:styleId="Overskrift">
    <w:name w:val="Overskrift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240" w:after="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2F5496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0563c1"/>
      <w:u w:val="single" w:color="0563c1"/>
      <w:lang w:val="da-DK"/>
      <w14:textFill>
        <w14:solidFill>
          <w14:srgbClr w14:val="0563C1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character" w:styleId="Hyperlink.1">
    <w:name w:val="Hyperlink.1"/>
    <w:basedOn w:val="Ingen"/>
    <w:next w:val="Hyperlink.1"/>
    <w:rPr>
      <w:rFonts w:ascii="Bradford LL" w:cs="Bradford LL" w:hAnsi="Bradford LL" w:eastAsia="Bradford LL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paragraph" w:styleId="Overskrift 2">
    <w:name w:val="Overskrift 2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40" w:after="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2F5496"/>
        </w14:solidFill>
      </w14:textFill>
    </w:r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  <w:style w:type="numbering" w:styleId="Importeret format 8">
    <w:name w:val="Importeret format 8"/>
    <w:pPr>
      <w:numPr>
        <w:numId w:val="15"/>
      </w:numPr>
    </w:pPr>
  </w:style>
  <w:style w:type="numbering" w:styleId="Importeret format 9">
    <w:name w:val="Importeret format 9"/>
    <w:pPr>
      <w:numPr>
        <w:numId w:val="17"/>
      </w:numPr>
    </w:pPr>
  </w:style>
  <w:style w:type="numbering" w:styleId="Importeret format 10">
    <w:name w:val="Importeret format 10"/>
    <w:pPr>
      <w:numPr>
        <w:numId w:val="19"/>
      </w:numPr>
    </w:pPr>
  </w:style>
  <w:style w:type="character" w:styleId="Hyperlink.2">
    <w:name w:val="Hyperlink.2"/>
    <w:basedOn w:val="Ingen"/>
    <w:next w:val="Hyperlink.2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